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0"/>
        </w:rPr>
        <w:t>Hounsome Fields Primary School</w:t>
      </w:r>
    </w:p>
    <w:p>
      <w:pPr>
        <w:spacing w:before="560"/>
        <w:jc w:val="center"/>
      </w:pPr>
      <w:r>
        <w:rPr>
          <w:b/>
          <w:color w:val="5B2A86"/>
          <w:sz w:val="46"/>
        </w:rPr>
        <w:t>CHILD PROTECTION POLICY</w:t>
      </w:r>
    </w:p>
    <w:p>
      <w:pPr>
        <w:jc w:val="center"/>
      </w:pPr>
      <w:r>
        <w:rPr>
          <w:b/>
          <w:sz w:val="36"/>
        </w:rPr>
        <w:t>2026–2027</w:t>
      </w:r>
    </w:p>
    <w:p>
      <w:pPr>
        <w:spacing w:before="320"/>
        <w:jc w:val="center"/>
      </w:pPr>
      <w:r>
        <w:drawing>
          <wp:inline xmlns:a="http://schemas.openxmlformats.org/drawingml/2006/main" xmlns:pic="http://schemas.openxmlformats.org/drawingml/2006/picture">
            <wp:extent cx="1554480" cy="1459079"/>
            <wp:docPr id="1" name="Picture 1"/>
            <wp:cNvGraphicFramePr>
              <a:graphicFrameLocks noChangeAspect="1"/>
            </wp:cNvGraphicFramePr>
            <a:graphic>
              <a:graphicData uri="http://schemas.openxmlformats.org/drawingml/2006/picture">
                <pic:pic>
                  <pic:nvPicPr>
                    <pic:cNvPr id="0" name="hfps_school_logo.png"/>
                    <pic:cNvPicPr/>
                  </pic:nvPicPr>
                  <pic:blipFill>
                    <a:blip r:embed="rId11"/>
                    <a:stretch>
                      <a:fillRect/>
                    </a:stretch>
                  </pic:blipFill>
                  <pic:spPr>
                    <a:xfrm>
                      <a:off x="0" y="0"/>
                      <a:ext cx="1554480" cy="1459079"/>
                    </a:xfrm>
                    <a:prstGeom prst="rect"/>
                  </pic:spPr>
                </pic:pic>
              </a:graphicData>
            </a:graphic>
          </wp:inline>
        </w:drawing>
      </w:r>
    </w:p>
    <w:tbl>
      <w:tblPr>
        <w:tblW w:type="auto" w:w="0"/>
        <w:jc w:val="center"/>
        <w:tblLayout w:type="fixed"/>
        <w:tblLook w:firstColumn="1" w:firstRow="1" w:lastColumn="0" w:lastRow="0" w:noHBand="0" w:noVBand="1" w:val="04A0"/>
      </w:tblPr>
      <w:tblGrid>
        <w:gridCol w:w="3168"/>
        <w:gridCol w:w="3168"/>
      </w:tblGrid>
      <w:tr>
        <w:tc>
          <w:tcPr>
            <w:tcW w:type="dxa" w:w="5083"/>
            <w:vAlign w:val="center"/>
          </w:tcPr>
          <w:p>
            <w:r/>
            <w:r>
              <w:rPr>
                <w:b/>
                <w:sz w:val="20"/>
              </w:rPr>
              <w:t>Date of Approval:</w:t>
            </w:r>
          </w:p>
        </w:tc>
        <w:tc>
          <w:tcPr>
            <w:tcW w:type="dxa" w:w="5083"/>
            <w:vAlign w:val="center"/>
          </w:tcPr>
          <w:p>
            <w:r/>
            <w:r>
              <w:rPr>
                <w:b w:val="0"/>
                <w:sz w:val="20"/>
              </w:rPr>
              <w:t>Autumn 2026</w:t>
            </w:r>
          </w:p>
        </w:tc>
      </w:tr>
      <w:tr>
        <w:tc>
          <w:tcPr>
            <w:tcW w:type="dxa" w:w="5083"/>
            <w:vAlign w:val="center"/>
          </w:tcPr>
          <w:p>
            <w:r/>
            <w:r>
              <w:rPr>
                <w:b/>
                <w:sz w:val="20"/>
              </w:rPr>
              <w:t>Date of Next Review:</w:t>
            </w:r>
          </w:p>
        </w:tc>
        <w:tc>
          <w:tcPr>
            <w:tcW w:type="dxa" w:w="5083"/>
            <w:vAlign w:val="center"/>
          </w:tcPr>
          <w:p>
            <w:r/>
            <w:r>
              <w:rPr>
                <w:b w:val="0"/>
                <w:sz w:val="20"/>
              </w:rPr>
              <w:t>Autumn 2027</w:t>
            </w:r>
          </w:p>
        </w:tc>
      </w:tr>
    </w:tbl>
    <w:p/>
    <w:p>
      <w:pPr>
        <w:jc w:val="center"/>
      </w:pPr>
      <w:r>
        <w:rPr>
          <w:color w:val="666666"/>
          <w:sz w:val="18"/>
        </w:rPr>
        <w:t>Treetop Avenue, Basingstoke, Hampshire, RG23 7GJ</w:t>
        <w:br/>
        <w:t>01276 930 264  |  info@hounsomefields.school</w:t>
      </w:r>
    </w:p>
    <w:p>
      <w:pPr>
        <w:jc w:val="right"/>
      </w:pPr>
      <w:r>
        <w:drawing>
          <wp:inline xmlns:a="http://schemas.openxmlformats.org/drawingml/2006/main" xmlns:pic="http://schemas.openxmlformats.org/drawingml/2006/picture">
            <wp:extent cx="685800" cy="498107"/>
            <wp:docPr id="2" name="Picture 2"/>
            <wp:cNvGraphicFramePr>
              <a:graphicFrameLocks noChangeAspect="1"/>
            </wp:cNvGraphicFramePr>
            <a:graphic>
              <a:graphicData uri="http://schemas.openxmlformats.org/drawingml/2006/picture">
                <pic:pic>
                  <pic:nvPicPr>
                    <pic:cNvPr id="0" name="eeea_logo.png"/>
                    <pic:cNvPicPr/>
                  </pic:nvPicPr>
                  <pic:blipFill>
                    <a:blip r:embed="rId12"/>
                    <a:stretch>
                      <a:fillRect/>
                    </a:stretch>
                  </pic:blipFill>
                  <pic:spPr>
                    <a:xfrm>
                      <a:off x="0" y="0"/>
                      <a:ext cx="685800" cy="498107"/>
                    </a:xfrm>
                    <a:prstGeom prst="rect"/>
                  </pic:spPr>
                </pic:pic>
              </a:graphicData>
            </a:graphic>
          </wp:inline>
        </w:drawing>
      </w:r>
    </w:p>
    <w:p>
      <w:r>
        <w:br w:type="page"/>
      </w:r>
    </w:p>
    <w:p>
      <w:pPr>
        <w:pStyle w:val="Heading1"/>
      </w:pPr>
      <w:r>
        <w:t>1. Purpose and scope</w:t>
      </w:r>
    </w:p>
    <w:p>
      <w:r>
        <w:t>This policy sets out how Hounsome Fields Primary School identifies, responds to, records and refers child protection concerns. It applies to all staff, trustees/governors, volunteers, contractors, agency staff and anyone working on behalf of the school.</w:t>
      </w:r>
    </w:p>
    <w:p>
      <w:r>
        <w:t>Child protection is part of the school’s wider safeguarding responsibilities. This policy should be read alongside the separate Safeguarding Policy, Staff Code of Conduct, Behaviour and Relationships Policy, Online Safety Policy, Low-Level Concerns Policy, Child-on-Child Abuse Policy, Whistleblowing Policy and Positive Handling and Restrictive Interventions Policy.</w:t>
      </w:r>
    </w:p>
    <w:p>
      <w:r>
        <w:t>The school maintains an attitude of “it could happen here” and takes a child-centred approach. The welfare and best interests of the child are paramount.</w:t>
      </w:r>
    </w:p>
    <w:tbl>
      <w:tblPr>
        <w:tblStyle w:val="TableGrid"/>
        <w:tblW w:type="auto" w:w="0"/>
        <w:jc w:val="center"/>
        <w:tblLook w:firstColumn="1" w:firstRow="1" w:lastColumn="0" w:lastRow="0" w:noHBand="0" w:noVBand="1" w:val="04A0"/>
      </w:tblPr>
      <w:tblGrid>
        <w:gridCol w:w="5083"/>
        <w:gridCol w:w="5083"/>
      </w:tblGrid>
      <w:tr>
        <w:tc>
          <w:tcPr>
            <w:tcW w:type="dxa" w:w="5083"/>
            <w:vAlign w:val="center"/>
            <w:shd w:fill="EDE5F4"/>
          </w:tcPr>
          <w:p>
            <w:r/>
            <w:r>
              <w:rPr>
                <w:b/>
                <w:sz w:val="20"/>
              </w:rPr>
              <w:t>Designated Safeguarding Lead</w:t>
            </w:r>
          </w:p>
        </w:tc>
        <w:tc>
          <w:tcPr>
            <w:tcW w:type="dxa" w:w="5083"/>
            <w:vAlign w:val="center"/>
          </w:tcPr>
          <w:p>
            <w:r/>
            <w:r>
              <w:rPr>
                <w:b w:val="0"/>
                <w:sz w:val="20"/>
              </w:rPr>
              <w:t>Bradley Carter, Headteacher</w:t>
            </w:r>
          </w:p>
        </w:tc>
      </w:tr>
      <w:tr>
        <w:tc>
          <w:tcPr>
            <w:tcW w:type="dxa" w:w="5083"/>
            <w:vAlign w:val="center"/>
          </w:tcPr>
          <w:p>
            <w:r/>
            <w:r>
              <w:rPr>
                <w:b/>
                <w:sz w:val="20"/>
              </w:rPr>
              <w:t>Safeguarding Governor</w:t>
            </w:r>
          </w:p>
        </w:tc>
        <w:tc>
          <w:tcPr>
            <w:tcW w:type="dxa" w:w="5083"/>
            <w:vAlign w:val="center"/>
          </w:tcPr>
          <w:p>
            <w:r/>
            <w:r>
              <w:rPr>
                <w:b w:val="0"/>
                <w:sz w:val="20"/>
              </w:rPr>
              <w:t>Karen Brown (Trustee)</w:t>
            </w:r>
          </w:p>
        </w:tc>
      </w:tr>
      <w:tr>
        <w:tc>
          <w:tcPr>
            <w:tcW w:type="dxa" w:w="5083"/>
            <w:vAlign w:val="center"/>
          </w:tcPr>
          <w:p>
            <w:r/>
            <w:r>
              <w:rPr>
                <w:b/>
                <w:sz w:val="20"/>
              </w:rPr>
              <w:t>Chair of Governors / Trust representative</w:t>
            </w:r>
          </w:p>
        </w:tc>
        <w:tc>
          <w:tcPr>
            <w:tcW w:type="dxa" w:w="5083"/>
            <w:vAlign w:val="center"/>
          </w:tcPr>
          <w:p>
            <w:r/>
            <w:r>
              <w:rPr>
                <w:b w:val="0"/>
                <w:sz w:val="20"/>
              </w:rPr>
              <w:t>Stephen Norton (Trustee)</w:t>
            </w:r>
          </w:p>
        </w:tc>
      </w:tr>
      <w:tr>
        <w:tc>
          <w:tcPr>
            <w:tcW w:type="dxa" w:w="5083"/>
            <w:vAlign w:val="center"/>
          </w:tcPr>
          <w:p>
            <w:r/>
            <w:r>
              <w:rPr>
                <w:b/>
                <w:sz w:val="20"/>
              </w:rPr>
              <w:t>Safeguarding recording system</w:t>
            </w:r>
          </w:p>
        </w:tc>
        <w:tc>
          <w:tcPr>
            <w:tcW w:type="dxa" w:w="5083"/>
            <w:vAlign w:val="center"/>
          </w:tcPr>
          <w:p>
            <w:r/>
            <w:r>
              <w:rPr>
                <w:b w:val="0"/>
                <w:sz w:val="20"/>
              </w:rPr>
              <w:t>CPOMS</w:t>
            </w:r>
          </w:p>
        </w:tc>
      </w:tr>
      <w:tr>
        <w:tc>
          <w:tcPr>
            <w:tcW w:type="dxa" w:w="5083"/>
            <w:vAlign w:val="center"/>
          </w:tcPr>
          <w:p>
            <w:r/>
            <w:r>
              <w:rPr>
                <w:b/>
                <w:sz w:val="20"/>
              </w:rPr>
              <w:t>School contact</w:t>
            </w:r>
          </w:p>
        </w:tc>
        <w:tc>
          <w:tcPr>
            <w:tcW w:type="dxa" w:w="5083"/>
            <w:vAlign w:val="center"/>
          </w:tcPr>
          <w:p>
            <w:r/>
            <w:r>
              <w:rPr>
                <w:b w:val="0"/>
                <w:sz w:val="20"/>
              </w:rPr>
              <w:t>01276 930 264 | info@hounsomefields.school</w:t>
            </w:r>
          </w:p>
        </w:tc>
      </w:tr>
    </w:tbl>
    <w:p>
      <w:pPr>
        <w:pStyle w:val="Heading1"/>
      </w:pPr>
      <w:r>
        <w:t>2. Safeguarding principles</w:t>
      </w:r>
    </w:p>
    <w:p>
      <w:pPr>
        <w:pStyle w:val="ListBullet"/>
      </w:pPr>
      <w:r>
        <w:t>Safeguarding and promoting the welfare of children is everyone’s responsibility.</w:t>
      </w:r>
    </w:p>
    <w:p>
      <w:pPr>
        <w:pStyle w:val="ListBullet"/>
      </w:pPr>
      <w:r>
        <w:t>All concerns, however small they may initially appear, must be taken seriously and recorded or shared through the school’s safeguarding systems.</w:t>
      </w:r>
    </w:p>
    <w:p>
      <w:pPr>
        <w:pStyle w:val="ListBullet"/>
      </w:pPr>
      <w:r>
        <w:t>Children should receive the right help at the right time. Staff should act immediately where there is a risk of harm.</w:t>
      </w:r>
    </w:p>
    <w:p>
      <w:pPr>
        <w:pStyle w:val="ListBullet"/>
      </w:pPr>
      <w:r>
        <w:t>Staff must listen to children, take account of their wishes and feelings, and never promise confidentiality.</w:t>
      </w:r>
    </w:p>
    <w:p>
      <w:pPr>
        <w:pStyle w:val="ListBullet"/>
      </w:pPr>
      <w:r>
        <w:t>No member of staff should assume that somebody else will take action or share information.</w:t>
      </w:r>
    </w:p>
    <w:p>
      <w:pPr>
        <w:pStyle w:val="ListBullet"/>
      </w:pPr>
      <w:r>
        <w:t>Safeguarding concerns may arise inside or outside the family, in the community, between children, and online.</w:t>
      </w:r>
    </w:p>
    <w:p>
      <w:pPr>
        <w:pStyle w:val="ListBullet"/>
      </w:pPr>
      <w:r>
        <w:t>Children with SEND, communication needs, medical needs, children in care, previously looked-after children and other vulnerable groups may face additional barriers to recognition and disclosure.</w:t>
      </w:r>
    </w:p>
    <w:p>
      <w:pPr>
        <w:pStyle w:val="Heading1"/>
      </w:pPr>
      <w:r>
        <w:t>3. Roles and responsibilities</w:t>
      </w:r>
    </w:p>
    <w:p>
      <w:pPr>
        <w:pStyle w:val="Heading2"/>
      </w:pPr>
      <w:r>
        <w:t>3.1 Designated Safeguarding Lead</w:t>
      </w:r>
    </w:p>
    <w:p>
      <w:r>
        <w:t>The Designated Safeguarding Lead (DSL) is Bradley Carter, Headteacher. The school will ensure that trained deputy DSL arrangements provide appropriate cover. Current safeguarding personnel are communicated to staff and displayed prominently in school.</w:t>
      </w:r>
    </w:p>
    <w:p>
      <w:pPr>
        <w:pStyle w:val="ListBullet"/>
      </w:pPr>
      <w:r>
        <w:t>manage referrals to Hampshire Children’s Services, the police, Channel/Prevent and the Disclosure and Barring Service where appropriate;</w:t>
      </w:r>
    </w:p>
    <w:p>
      <w:pPr>
        <w:pStyle w:val="ListBullet"/>
      </w:pPr>
      <w:r>
        <w:t>act as a source of support, advice and expertise to staff;</w:t>
      </w:r>
    </w:p>
    <w:p>
      <w:pPr>
        <w:pStyle w:val="ListBullet"/>
      </w:pPr>
      <w:r>
        <w:t>maintain secure, accurate and timely safeguarding records;</w:t>
      </w:r>
    </w:p>
    <w:p>
      <w:pPr>
        <w:pStyle w:val="ListBullet"/>
      </w:pPr>
      <w:r>
        <w:t>work with the headteacher, safeguarding governor/trustee and external agencies;</w:t>
      </w:r>
    </w:p>
    <w:p>
      <w:pPr>
        <w:pStyle w:val="ListBullet"/>
      </w:pPr>
      <w:r>
        <w:t>ensure the child protection file is transferred securely and promptly when a child moves school, with confirmation of receipt;</w:t>
      </w:r>
    </w:p>
    <w:p>
      <w:pPr>
        <w:pStyle w:val="ListBullet"/>
      </w:pPr>
      <w:r>
        <w:t>ensure the policy is reviewed at least annually and following significant changes in statutory or local guidance.</w:t>
      </w:r>
    </w:p>
    <w:p>
      <w:pPr>
        <w:pStyle w:val="Heading2"/>
      </w:pPr>
      <w:r>
        <w:t>3.2 All staff</w:t>
      </w:r>
    </w:p>
    <w:p>
      <w:pPr>
        <w:pStyle w:val="ListBullet"/>
      </w:pPr>
      <w:r>
        <w:t>read and understand the required sections of Keeping Children Safe in Education 2026 and school safeguarding procedures;</w:t>
      </w:r>
    </w:p>
    <w:p>
      <w:pPr>
        <w:pStyle w:val="ListBullet"/>
      </w:pPr>
      <w:r>
        <w:t>know how to identify indicators of abuse, neglect, exploitation and other safeguarding concerns;</w:t>
      </w:r>
    </w:p>
    <w:p>
      <w:pPr>
        <w:pStyle w:val="ListBullet"/>
      </w:pPr>
      <w:r>
        <w:t>report concerns to the DSL or deputy without delay and record them on CPOMS;</w:t>
      </w:r>
    </w:p>
    <w:p>
      <w:pPr>
        <w:pStyle w:val="ListBullet"/>
      </w:pPr>
      <w:r>
        <w:t>make a direct referral to Children’s Services and/or police where necessary if a DSL is unavailable and a child may be at risk;</w:t>
      </w:r>
    </w:p>
    <w:p>
      <w:pPr>
        <w:pStyle w:val="ListBullet"/>
      </w:pPr>
      <w:r>
        <w:t>understand procedures for concerns or allegations about adults, including low-level concerns;</w:t>
      </w:r>
    </w:p>
    <w:p>
      <w:pPr>
        <w:pStyle w:val="ListBullet"/>
      </w:pPr>
      <w:r>
        <w:t>complete induction and regular safeguarding updates and training.</w:t>
      </w:r>
    </w:p>
    <w:p>
      <w:pPr>
        <w:pStyle w:val="Heading2"/>
      </w:pPr>
      <w:r>
        <w:t>3.3 Governors / trustees and the Trust</w:t>
      </w:r>
    </w:p>
    <w:p>
      <w:pPr>
        <w:pStyle w:val="ListBullet"/>
      </w:pPr>
      <w:r>
        <w:t>ensure safeguarding arrangements comply with statutory guidance and are effective in practice;</w:t>
      </w:r>
    </w:p>
    <w:p>
      <w:pPr>
        <w:pStyle w:val="ListBullet"/>
      </w:pPr>
      <w:r>
        <w:t>ensure appropriate scrutiny of safeguarding, safer recruitment, filtering and monitoring and staff training;</w:t>
      </w:r>
    </w:p>
    <w:p>
      <w:pPr>
        <w:pStyle w:val="ListBullet"/>
      </w:pPr>
      <w:r>
        <w:t>ensure concerns about the headteacher are managed by the Chair/appropriate Trust representative and referred to the LADO where the threshold is met.</w:t>
      </w:r>
    </w:p>
    <w:p>
      <w:pPr>
        <w:pStyle w:val="Heading1"/>
      </w:pPr>
      <w:r>
        <w:t>4. Recognising abuse, neglect and exploitation</w:t>
      </w:r>
    </w:p>
    <w:p>
      <w:r>
        <w:t>Staff must be alert to indicators of physical abuse, emotional abuse, sexual abuse and neglect, as well as exploitation and other forms of harm. Staff should also recognise that abuse may be perpetrated by adults or children and may occur wholly or partly online.</w:t>
      </w:r>
    </w:p>
    <w:p>
      <w:pPr>
        <w:pStyle w:val="ListBullet"/>
      </w:pPr>
      <w:r>
        <w:t>physical abuse, including unexplained or patterned injuries;</w:t>
      </w:r>
    </w:p>
    <w:p>
      <w:pPr>
        <w:pStyle w:val="ListBullet"/>
      </w:pPr>
      <w:r>
        <w:t>emotional abuse, including persistent humiliation, rejection, intimidation or exposure to harmful experiences;</w:t>
      </w:r>
    </w:p>
    <w:p>
      <w:pPr>
        <w:pStyle w:val="ListBullet"/>
      </w:pPr>
      <w:r>
        <w:t>sexual abuse, sexual exploitation and harmful sexual behaviour;</w:t>
      </w:r>
    </w:p>
    <w:p>
      <w:pPr>
        <w:pStyle w:val="ListBullet"/>
      </w:pPr>
      <w:r>
        <w:t>neglect, including persistent failure to meet physical or emotional needs;</w:t>
      </w:r>
    </w:p>
    <w:p>
      <w:pPr>
        <w:pStyle w:val="ListBullet"/>
      </w:pPr>
      <w:r>
        <w:t>domestic abuse and the impact on children as victims in their own right;</w:t>
      </w:r>
    </w:p>
    <w:p>
      <w:pPr>
        <w:pStyle w:val="ListBullet"/>
      </w:pPr>
      <w:r>
        <w:t>child criminal exploitation, child sexual exploitation, county lines, trafficking and modern slavery;</w:t>
      </w:r>
    </w:p>
    <w:p>
      <w:pPr>
        <w:pStyle w:val="ListBullet"/>
      </w:pPr>
      <w:r>
        <w:t>female genital mutilation, forced marriage and so-called honour-based abuse;</w:t>
      </w:r>
    </w:p>
    <w:p>
      <w:pPr>
        <w:pStyle w:val="ListBullet"/>
      </w:pPr>
      <w:r>
        <w:t>radicalisation and susceptibility to extremist influence;</w:t>
      </w:r>
    </w:p>
    <w:p>
      <w:pPr>
        <w:pStyle w:val="ListBullet"/>
      </w:pPr>
      <w:r>
        <w:t>serious violence, gangs and community-based harm;</w:t>
      </w:r>
    </w:p>
    <w:p>
      <w:pPr>
        <w:pStyle w:val="ListBullet"/>
      </w:pPr>
      <w:r>
        <w:t>online abuse, grooming, image-based abuse and the sharing of nude or semi-nude images;</w:t>
      </w:r>
    </w:p>
    <w:p>
      <w:pPr>
        <w:pStyle w:val="ListBullet"/>
      </w:pPr>
      <w:r>
        <w:t>fabricated or induced illness / perplexing presentations where safeguarding concerns arise.</w:t>
      </w:r>
    </w:p>
    <w:p>
      <w:pPr>
        <w:pStyle w:val="Heading1"/>
      </w:pPr>
      <w:r>
        <w:t>5. Responding to a concern or disclosure</w:t>
      </w:r>
    </w:p>
    <w:p>
      <w:pPr>
        <w:pStyle w:val="ListNumber"/>
      </w:pPr>
      <w:r>
        <w:t>Listen carefully. Allow the child to speak freely and do not investigate.</w:t>
      </w:r>
    </w:p>
    <w:p>
      <w:pPr>
        <w:pStyle w:val="ListNumber"/>
      </w:pPr>
      <w:r>
        <w:t>Remain calm, take the child seriously and reassure them that they have done the right thing by speaking.</w:t>
      </w:r>
    </w:p>
    <w:p>
      <w:pPr>
        <w:pStyle w:val="ListNumber"/>
      </w:pPr>
      <w:r>
        <w:t>Do not ask leading questions. Use only open prompts needed to clarify what is being said.</w:t>
      </w:r>
    </w:p>
    <w:p>
      <w:pPr>
        <w:pStyle w:val="ListNumber"/>
      </w:pPr>
      <w:r>
        <w:t>Explain that the information must be shared with people who can help keep them safe.</w:t>
      </w:r>
    </w:p>
    <w:p>
      <w:pPr>
        <w:pStyle w:val="ListNumber"/>
      </w:pPr>
      <w:r>
        <w:t>Record the concern as soon as possible, using the child’s own words where relevant, and submit it on CPOMS.</w:t>
      </w:r>
    </w:p>
    <w:p>
      <w:pPr>
        <w:pStyle w:val="ListNumber"/>
      </w:pPr>
      <w:r>
        <w:t>Report the concern to the DSL or deputy immediately. Do not wait until the end of the day if there may be an immediate risk.</w:t>
      </w:r>
    </w:p>
    <w:p>
      <w:pPr>
        <w:pStyle w:val="ListNumber"/>
      </w:pPr>
      <w:r>
        <w:t>If the child is in immediate danger, call 999. If the DSL is unavailable, staff may make a direct referral to Hampshire Children’s Services.</w:t>
      </w:r>
    </w:p>
    <w:p>
      <w:pPr>
        <w:pStyle w:val="Heading1"/>
      </w:pPr>
      <w:r>
        <w:t>6. Referrals and thresholds</w:t>
      </w:r>
    </w:p>
    <w:p>
      <w:r>
        <w:t>The DSL will use the Hampshire Safeguarding Children Partnership and Children’s Trust thresholds guidance when considering need, risk and the appropriate response. Where there is reasonable cause to suspect that a child is suffering, or is likely to suffer, significant harm, a referral will be made to Children’s Services and, where appropriate, the police.</w:t>
      </w:r>
    </w:p>
    <w:p>
      <w:r>
        <w:t>Professionals should use Hampshire’s Inter-Agency Referral Form (IARF). For urgent safeguarding matters during office hours, the Hampshire professionals line is 01329 225379. Out of hours, contact 0300 555 1373. In an emergency call 999.</w:t>
      </w:r>
    </w:p>
    <w:p>
      <w:r>
        <w:t>If a referral does not lead to an improvement in the child’s situation, the DSL or referring member of staff will follow up and escalate concerns as necessary.</w:t>
      </w:r>
    </w:p>
    <w:p>
      <w:pPr>
        <w:pStyle w:val="Heading1"/>
      </w:pPr>
      <w:r>
        <w:t>7. Working with parents and carers</w:t>
      </w:r>
    </w:p>
    <w:p>
      <w:r>
        <w:t>The school will normally work openly and in partnership with parents and carers. Parents will usually be informed about concerns and referrals unless doing so may place a child at greater risk, impede a criminal investigation, or conflict with advice from Children’s Services or police. In cases such as forced marriage or honour-based abuse, family members must not be contacted where this could increase risk.</w:t>
      </w:r>
    </w:p>
    <w:p>
      <w:pPr>
        <w:pStyle w:val="Heading1"/>
      </w:pPr>
      <w:r>
        <w:t>8. Information sharing and confidentiality</w:t>
      </w:r>
    </w:p>
    <w:p>
      <w:r>
        <w:t>Safeguarding information will be shared lawfully, proportionately and on a need-to-know basis. Staff must follow the statutory Information Sharing to Safeguard Children and Young People guidance and understand that data protection law does not prevent the sharing of information where this is necessary to safeguard a child.</w:t>
      </w:r>
    </w:p>
    <w:p>
      <w:r>
        <w:t>Safeguarding records are confidential and are stored separately from the main pupil record. Staff must never promise to keep a safeguarding disclosure secret.</w:t>
      </w:r>
    </w:p>
    <w:p>
      <w:pPr>
        <w:pStyle w:val="Heading1"/>
      </w:pPr>
      <w:r>
        <w:t>9. Children absent from education</w:t>
      </w:r>
    </w:p>
    <w:p>
      <w:r>
        <w:t>Staff must treat repeated or unexplained absence, missing episodes or patterns of absence as potential safeguarding indicators. The school’s Attendance Policy and child protection procedures will be followed, with timely liaison with the local authority and other agencies where appropriate.</w:t>
      </w:r>
    </w:p>
    <w:p>
      <w:pPr>
        <w:pStyle w:val="Heading1"/>
      </w:pPr>
      <w:r>
        <w:t>10. Child-on-child abuse</w:t>
      </w:r>
    </w:p>
    <w:p>
      <w:r>
        <w:t>The school has a zero-tolerance approach to child-on-child abuse. It is never acceptable and will not be dismissed as banter, part of growing up, boys being boys, or harmless behaviour. The separate Child-on-Child Abuse and Sexual Violence and Sexual Harassment Policy sets out prevention, reporting, risk assessment, support and response arrangements.</w:t>
      </w:r>
    </w:p>
    <w:p>
      <w:pPr>
        <w:pStyle w:val="Heading1"/>
      </w:pPr>
      <w:r>
        <w:t>11. Concerns and allegations about adults</w:t>
      </w:r>
    </w:p>
    <w:p>
      <w:r>
        <w:t>Any concern about an adult working in or on behalf of the school must be reported without delay. Where the concern may meet the harm threshold, the headteacher will follow Part Four of Keeping Children Safe in Education and contact the Hampshire LADO. New LADO referrals should be made through Hampshire’s current referral route; the central contact email is LADO@hants.gov.uk. Concerns that do not meet the harm threshold will be managed under the school’s Low-Level Concerns Policy.</w:t>
      </w:r>
    </w:p>
    <w:p>
      <w:r>
        <w:t>Concerns about the headteacher must be reported to the Chair of Governors / appropriate Trust representative, who will contact the LADO as required.</w:t>
      </w:r>
    </w:p>
    <w:p>
      <w:pPr>
        <w:pStyle w:val="Heading1"/>
      </w:pPr>
      <w:r>
        <w:t>12. Whistleblowing</w:t>
      </w:r>
    </w:p>
    <w:p>
      <w:r>
        <w:t>Staff must raise concerns about unsafe practice, failures in safeguarding arrangements or the conduct of colleagues. The school’s Whistleblowing Policy applies. Staff may also use the NSPCC whistleblowing advice line if they feel unable to raise concerns internally.</w:t>
      </w:r>
    </w:p>
    <w:p>
      <w:pPr>
        <w:pStyle w:val="Heading1"/>
      </w:pPr>
      <w:r>
        <w:t>13. Safer recruitment and suitability</w:t>
      </w:r>
    </w:p>
    <w:p>
      <w:r>
        <w:t>The school follows Keeping Children Safe in Education 2026 and Trust recruitment procedures, including appropriate pre-employment checks, the single central record, online searches as part of due diligence where appropriate, and current requirements relating to regulated activity and barred list checks.</w:t>
      </w:r>
    </w:p>
    <w:p>
      <w:pPr>
        <w:pStyle w:val="Heading1"/>
      </w:pPr>
      <w:r>
        <w:t>14. Training and review</w:t>
      </w:r>
    </w:p>
    <w:p>
      <w:r>
        <w:t>All staff receive safeguarding and child protection training at induction and regular updates thereafter. The DSL and deputies undertake role-specific training and maintain up-to-date knowledge through local and national updates. This policy is reviewed at least annually and sooner where guidance, legislation or local arrangements change.</w:t>
      </w:r>
    </w:p>
    <w:p>
      <w:pPr>
        <w:pStyle w:val="Heading1"/>
      </w:pPr>
      <w:r>
        <w:t>Key legislation and guidance</w:t>
      </w:r>
    </w:p>
    <w:p>
      <w:pPr>
        <w:pStyle w:val="ListBullet"/>
      </w:pPr>
      <w:r>
        <w:t>Keeping Children Safe in Education 2026 (Department for Education).</w:t>
      </w:r>
    </w:p>
    <w:p>
      <w:pPr>
        <w:pStyle w:val="ListBullet"/>
      </w:pPr>
      <w:r>
        <w:t>Working Together to Safeguard Children 2026 (Department for Education).</w:t>
      </w:r>
    </w:p>
    <w:p>
      <w:pPr>
        <w:pStyle w:val="ListBullet"/>
      </w:pPr>
      <w:r>
        <w:t>Information Sharing to Safeguard Children and Young People, statutory guidance updated September 2026.</w:t>
      </w:r>
    </w:p>
    <w:p>
      <w:pPr>
        <w:pStyle w:val="ListBullet"/>
      </w:pPr>
      <w:r>
        <w:t>Hampshire County Council model Child Protection Policy, September 2026.</w:t>
      </w:r>
    </w:p>
    <w:p>
      <w:pPr>
        <w:pStyle w:val="ListBullet"/>
      </w:pPr>
      <w:r>
        <w:t>Hampshire County Council model Safeguarding Policy, September 2026.</w:t>
      </w:r>
    </w:p>
    <w:p>
      <w:pPr>
        <w:pStyle w:val="ListBullet"/>
      </w:pPr>
      <w:r>
        <w:t>Hampshire Safeguarding Children Partnership (HSCP) procedures and Hampshire Children’s Trust thresholds guidance.</w:t>
      </w:r>
    </w:p>
    <w:p>
      <w:pPr>
        <w:pStyle w:val="ListBullet"/>
      </w:pPr>
      <w:r>
        <w:t>Education Act 2002 and relevant safeguarding provisions applying to academies and free schools.</w:t>
      </w:r>
    </w:p>
    <w:p>
      <w:pPr>
        <w:pStyle w:val="ListBullet"/>
      </w:pPr>
      <w:r>
        <w:t>Children Act 1989 and Children Act 2004, as amended.</w:t>
      </w:r>
    </w:p>
    <w:p>
      <w:pPr>
        <w:pStyle w:val="ListBullet"/>
      </w:pPr>
      <w:r>
        <w:t>Equality Act 2010 and Human Rights Act 1998.</w:t>
      </w:r>
    </w:p>
    <w:sectPr w:rsidR="00FC693F" w:rsidRPr="0006063C" w:rsidSect="00034616">
      <w:headerReference w:type="default" r:id="rId9"/>
      <w:footerReference w:type="default" r:id="rId10"/>
      <w:pgSz w:w="12240" w:h="15840"/>
      <w:pgMar w:top="864" w:right="1037" w:bottom="864"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66666"/>
        <w:sz w:val="16"/>
      </w:rPr>
      <w:t xml:space="preserve">Child Protection Policy  |  Hounsome Fields Primary School  |  </w:t>
    </w:r>
    <w:r>
      <w:t xml:space="preserve">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666666"/>
        <w:sz w:val="16"/>
      </w:rPr>
      <w:t>Hounsome Fields Primary School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5B2A86"/>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5B2A86"/>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Aptos Display" w:hAnsi="Aptos Display"/>
      <w:b/>
      <w:bCs/>
      <w:color w:val="5B2A86"/>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200"/>
      <w:contextualSpacing/>
    </w:pPr>
    <w:rPr>
      <w:rFonts w:asciiTheme="majorHAnsi" w:eastAsiaTheme="majorEastAsia" w:hAnsiTheme="majorHAnsi" w:cstheme="majorBidi" w:ascii="Aptos Display" w:hAnsi="Aptos Display"/>
      <w:b/>
      <w:color w:val="5B2A86"/>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