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40"/>
        </w:rPr>
        <w:t>Hounsome Fields Primary School</w:t>
      </w:r>
    </w:p>
    <w:p>
      <w:pPr>
        <w:spacing w:before="560"/>
        <w:jc w:val="center"/>
      </w:pPr>
      <w:r>
        <w:rPr>
          <w:b/>
          <w:color w:val="5B2A86"/>
          <w:sz w:val="46"/>
        </w:rPr>
        <w:t>CHILD-ON-CHILD ABUSE AND SEXUAL VIOLENCE &amp; SEXUAL HARASSMENT POLICY</w:t>
      </w:r>
    </w:p>
    <w:p>
      <w:pPr>
        <w:jc w:val="center"/>
      </w:pPr>
      <w:r>
        <w:rPr>
          <w:b/>
          <w:sz w:val="36"/>
        </w:rPr>
        <w:t>2026–2027</w:t>
      </w:r>
    </w:p>
    <w:p>
      <w:pPr>
        <w:spacing w:before="320"/>
        <w:jc w:val="center"/>
      </w:pPr>
      <w:r>
        <w:drawing>
          <wp:inline xmlns:a="http://schemas.openxmlformats.org/drawingml/2006/main" xmlns:pic="http://schemas.openxmlformats.org/drawingml/2006/picture">
            <wp:extent cx="1554480" cy="1459079"/>
            <wp:docPr id="1" name="Picture 1"/>
            <wp:cNvGraphicFramePr>
              <a:graphicFrameLocks noChangeAspect="1"/>
            </wp:cNvGraphicFramePr>
            <a:graphic>
              <a:graphicData uri="http://schemas.openxmlformats.org/drawingml/2006/picture">
                <pic:pic>
                  <pic:nvPicPr>
                    <pic:cNvPr id="0" name="hfps_school_logo.png"/>
                    <pic:cNvPicPr/>
                  </pic:nvPicPr>
                  <pic:blipFill>
                    <a:blip r:embed="rId11"/>
                    <a:stretch>
                      <a:fillRect/>
                    </a:stretch>
                  </pic:blipFill>
                  <pic:spPr>
                    <a:xfrm>
                      <a:off x="0" y="0"/>
                      <a:ext cx="1554480" cy="1459079"/>
                    </a:xfrm>
                    <a:prstGeom prst="rect"/>
                  </pic:spPr>
                </pic:pic>
              </a:graphicData>
            </a:graphic>
          </wp:inline>
        </w:drawing>
      </w:r>
    </w:p>
    <w:tbl>
      <w:tblPr>
        <w:tblW w:type="auto" w:w="0"/>
        <w:jc w:val="center"/>
        <w:tblLayout w:type="fixed"/>
        <w:tblLook w:firstColumn="1" w:firstRow="1" w:lastColumn="0" w:lastRow="0" w:noHBand="0" w:noVBand="1" w:val="04A0"/>
      </w:tblPr>
      <w:tblGrid>
        <w:gridCol w:w="3168"/>
        <w:gridCol w:w="3168"/>
      </w:tblGrid>
      <w:tr>
        <w:tc>
          <w:tcPr>
            <w:tcW w:type="dxa" w:w="5083"/>
            <w:vAlign w:val="center"/>
          </w:tcPr>
          <w:p>
            <w:r/>
            <w:r>
              <w:rPr>
                <w:b/>
                <w:sz w:val="20"/>
              </w:rPr>
              <w:t>Date of Approval:</w:t>
            </w:r>
          </w:p>
        </w:tc>
        <w:tc>
          <w:tcPr>
            <w:tcW w:type="dxa" w:w="5083"/>
            <w:vAlign w:val="center"/>
          </w:tcPr>
          <w:p>
            <w:r/>
            <w:r>
              <w:rPr>
                <w:b w:val="0"/>
                <w:sz w:val="20"/>
              </w:rPr>
              <w:t>Autumn 2026</w:t>
            </w:r>
          </w:p>
        </w:tc>
      </w:tr>
      <w:tr>
        <w:tc>
          <w:tcPr>
            <w:tcW w:type="dxa" w:w="5083"/>
            <w:vAlign w:val="center"/>
          </w:tcPr>
          <w:p>
            <w:r/>
            <w:r>
              <w:rPr>
                <w:b/>
                <w:sz w:val="20"/>
              </w:rPr>
              <w:t>Date of Next Review:</w:t>
            </w:r>
          </w:p>
        </w:tc>
        <w:tc>
          <w:tcPr>
            <w:tcW w:type="dxa" w:w="5083"/>
            <w:vAlign w:val="center"/>
          </w:tcPr>
          <w:p>
            <w:r/>
            <w:r>
              <w:rPr>
                <w:b w:val="0"/>
                <w:sz w:val="20"/>
              </w:rPr>
              <w:t>Autumn 2027</w:t>
            </w:r>
          </w:p>
        </w:tc>
      </w:tr>
    </w:tbl>
    <w:p/>
    <w:p>
      <w:pPr>
        <w:jc w:val="center"/>
      </w:pPr>
      <w:r>
        <w:rPr>
          <w:color w:val="666666"/>
          <w:sz w:val="18"/>
        </w:rPr>
        <w:t>Treetop Avenue, Basingstoke, Hampshire, RG23 7GJ</w:t>
        <w:br/>
        <w:t>01276 930 264  |  info@hounsomefields.school</w:t>
      </w:r>
    </w:p>
    <w:p>
      <w:pPr>
        <w:jc w:val="right"/>
      </w:pPr>
      <w:r>
        <w:drawing>
          <wp:inline xmlns:a="http://schemas.openxmlformats.org/drawingml/2006/main" xmlns:pic="http://schemas.openxmlformats.org/drawingml/2006/picture">
            <wp:extent cx="685800" cy="498107"/>
            <wp:docPr id="2" name="Picture 2"/>
            <wp:cNvGraphicFramePr>
              <a:graphicFrameLocks noChangeAspect="1"/>
            </wp:cNvGraphicFramePr>
            <a:graphic>
              <a:graphicData uri="http://schemas.openxmlformats.org/drawingml/2006/picture">
                <pic:pic>
                  <pic:nvPicPr>
                    <pic:cNvPr id="0" name="eeea_logo.png"/>
                    <pic:cNvPicPr/>
                  </pic:nvPicPr>
                  <pic:blipFill>
                    <a:blip r:embed="rId12"/>
                    <a:stretch>
                      <a:fillRect/>
                    </a:stretch>
                  </pic:blipFill>
                  <pic:spPr>
                    <a:xfrm>
                      <a:off x="0" y="0"/>
                      <a:ext cx="685800" cy="498107"/>
                    </a:xfrm>
                    <a:prstGeom prst="rect"/>
                  </pic:spPr>
                </pic:pic>
              </a:graphicData>
            </a:graphic>
          </wp:inline>
        </w:drawing>
      </w:r>
    </w:p>
    <w:p>
      <w:r>
        <w:br w:type="page"/>
      </w:r>
    </w:p>
    <w:p>
      <w:pPr>
        <w:pStyle w:val="Heading1"/>
      </w:pPr>
      <w:r>
        <w:t>1. Statement of intent</w:t>
      </w:r>
    </w:p>
    <w:p>
      <w:r>
        <w:t>Hounsome Fields Primary School believes that every child has the right to attend school and learn in a safe environment. Child-on-child abuse is never acceptable and will not be tolerated. It will not be dismissed as “banter”, “just having a laugh”, “part of growing up” or “boys being boys”.</w:t>
      </w:r>
    </w:p>
    <w:p>
      <w:r>
        <w:t>The school recognises that children can abuse other children and that abuse can happen inside or outside school and online. Even where there are no reported cases, staff must not assume that abuse is not happening.</w:t>
      </w:r>
    </w:p>
    <w:p>
      <w:pPr>
        <w:pStyle w:val="Heading1"/>
      </w:pPr>
      <w:r>
        <w:t>2. Scope and forms of child-on-child abuse</w:t>
      </w:r>
    </w:p>
    <w:p>
      <w:pPr>
        <w:pStyle w:val="ListBullet"/>
      </w:pPr>
      <w:r>
        <w:t>bullying, including prejudice-based and discriminatory bullying;</w:t>
      </w:r>
    </w:p>
    <w:p>
      <w:pPr>
        <w:pStyle w:val="ListBullet"/>
      </w:pPr>
      <w:r>
        <w:t>physical abuse, such as hitting, kicking, biting or otherwise causing physical harm;</w:t>
      </w:r>
    </w:p>
    <w:p>
      <w:pPr>
        <w:pStyle w:val="ListBullet"/>
      </w:pPr>
      <w:r>
        <w:t>sexual violence and sexual assault;</w:t>
      </w:r>
    </w:p>
    <w:p>
      <w:pPr>
        <w:pStyle w:val="ListBullet"/>
      </w:pPr>
      <w:r>
        <w:t>sexual harassment, including sexual comments, jokes, taunting or unwanted sexualised behaviour;</w:t>
      </w:r>
    </w:p>
    <w:p>
      <w:pPr>
        <w:pStyle w:val="ListBullet"/>
      </w:pPr>
      <w:r>
        <w:t>online sexual harassment and image-based abuse;</w:t>
      </w:r>
    </w:p>
    <w:p>
      <w:pPr>
        <w:pStyle w:val="ListBullet"/>
      </w:pPr>
      <w:r>
        <w:t>consensual and non-consensual sharing of nude and semi-nude images and videos;</w:t>
      </w:r>
    </w:p>
    <w:p>
      <w:pPr>
        <w:pStyle w:val="ListBullet"/>
      </w:pPr>
      <w:r>
        <w:t>upskirting and other voyeuristic behaviour;</w:t>
      </w:r>
    </w:p>
    <w:p>
      <w:pPr>
        <w:pStyle w:val="ListBullet"/>
      </w:pPr>
      <w:r>
        <w:t>coercive or controlling behaviour between children;</w:t>
      </w:r>
    </w:p>
    <w:p>
      <w:pPr>
        <w:pStyle w:val="ListBullet"/>
      </w:pPr>
      <w:r>
        <w:t>initiation-type violence and rituals (hazing);</w:t>
      </w:r>
    </w:p>
    <w:p>
      <w:pPr>
        <w:pStyle w:val="ListBullet"/>
      </w:pPr>
      <w:r>
        <w:t>harmful sexual behaviour and sexualised behaviour that is inappropriate for a child’s age or development.</w:t>
      </w:r>
    </w:p>
    <w:p>
      <w:pPr>
        <w:pStyle w:val="Heading1"/>
      </w:pPr>
      <w:r>
        <w:t>3. Prevention</w:t>
      </w:r>
    </w:p>
    <w:p>
      <w:r>
        <w:t>The school takes a preventative approach through relationships and health education, online safety, behaviour expectations, anti-bullying work, clear supervision, staff training and a culture in which children understand boundaries, consent, respect and how to seek help. Curriculum content is adapted for age, development and SEND.</w:t>
      </w:r>
    </w:p>
    <w:p>
      <w:pPr>
        <w:pStyle w:val="Heading1"/>
      </w:pPr>
      <w:r>
        <w:t>4. Reporting and disclosures</w:t>
      </w:r>
    </w:p>
    <w:p>
      <w:r>
        <w:t>Children may report concerns to any trusted adult. Staff must listen, avoid leading questions, explain that information will need to be shared to keep people safe, record the report promptly on CPOMS and inform the DSL. Staff must not promise confidentiality or conduct their own investigation.</w:t>
      </w:r>
    </w:p>
    <w:p>
      <w:pPr>
        <w:pStyle w:val="Heading1"/>
      </w:pPr>
      <w:r>
        <w:t>5. Immediate response</w:t>
      </w:r>
    </w:p>
    <w:p>
      <w:r>
        <w:t>The DSL will consider the safety and needs of the child who has reported harm, the child alleged to have caused harm, and any other children who may be affected. Immediate steps may include supervision changes, safety planning, separation where necessary and proportionate, medical support, preservation of evidence and referral to Children’s Services or police.</w:t>
      </w:r>
    </w:p>
    <w:p>
      <w:pPr>
        <w:pStyle w:val="Heading1"/>
      </w:pPr>
      <w:r>
        <w:t>6. Sexual violence and sexual harassment</w:t>
      </w:r>
    </w:p>
    <w:p>
      <w:r>
        <w:t>Reports of sexual violence and sexual harassment will be taken seriously. The school recognises that the experience may be distressing and may affect attendance, learning, wellbeing and relationships. The response will be child-centred, proportionate and informed by KCSIE 2026.</w:t>
      </w:r>
    </w:p>
    <w:p>
      <w:pPr>
        <w:pStyle w:val="ListBullet"/>
      </w:pPr>
      <w:r>
        <w:t>The school will not require a child to face the alleged perpetrator as a condition of continuing education.</w:t>
      </w:r>
    </w:p>
    <w:p>
      <w:pPr>
        <w:pStyle w:val="ListBullet"/>
      </w:pPr>
      <w:r>
        <w:t>The school will consider the potential impact of social media, rumours and identification of children involved.</w:t>
      </w:r>
    </w:p>
    <w:p>
      <w:pPr>
        <w:pStyle w:val="ListBullet"/>
      </w:pPr>
      <w:r>
        <w:t>Where a criminal offence may have been committed, police advice will be sought and the school will avoid actions that could prejudice an investigation.</w:t>
      </w:r>
    </w:p>
    <w:p>
      <w:pPr>
        <w:pStyle w:val="ListBullet"/>
      </w:pPr>
      <w:r>
        <w:t>Support and disciplinary action are not mutually exclusive and may occur alongside one another where appropriate.</w:t>
      </w:r>
    </w:p>
    <w:p>
      <w:pPr>
        <w:pStyle w:val="Heading1"/>
      </w:pPr>
      <w:r>
        <w:t>7. Risk and needs assessment</w:t>
      </w:r>
    </w:p>
    <w:p>
      <w:r>
        <w:t>Where there has been a report of sexual violence, serious sexual harassment or other significant child-on-child abuse, the DSL will consider a written risk and needs assessment. This will address the needs and safety of the child who reported harm, the alleged perpetrator, other children and staff, and will be kept under review as circumstances change.</w:t>
      </w:r>
    </w:p>
    <w:p>
      <w:pPr>
        <w:pStyle w:val="Heading1"/>
      </w:pPr>
      <w:r>
        <w:t>8. Supporting the child who has experienced harm</w:t>
      </w:r>
    </w:p>
    <w:p>
      <w:pPr>
        <w:pStyle w:val="ListBullet"/>
      </w:pPr>
      <w:r>
        <w:t>provide a trusted adult and regular check-ins;</w:t>
      </w:r>
    </w:p>
    <w:p>
      <w:pPr>
        <w:pStyle w:val="ListBullet"/>
      </w:pPr>
      <w:r>
        <w:t>make reasonable adjustments to timetables, spaces or transitions where required;</w:t>
      </w:r>
    </w:p>
    <w:p>
      <w:pPr>
        <w:pStyle w:val="ListBullet"/>
      </w:pPr>
      <w:r>
        <w:t>avoid actions that unnecessarily isolate or penalise the child who reported harm;</w:t>
      </w:r>
    </w:p>
    <w:p>
      <w:pPr>
        <w:pStyle w:val="ListBullet"/>
      </w:pPr>
      <w:r>
        <w:t>work with parents/carers where safe and appropriate;</w:t>
      </w:r>
    </w:p>
    <w:p>
      <w:pPr>
        <w:pStyle w:val="ListBullet"/>
      </w:pPr>
      <w:r>
        <w:t>seek specialist support or referrals where needed;</w:t>
      </w:r>
    </w:p>
    <w:p>
      <w:pPr>
        <w:pStyle w:val="ListBullet"/>
      </w:pPr>
      <w:r>
        <w:t>consider SEND, communication needs, protected characteristics and any additional vulnerabilities.</w:t>
      </w:r>
    </w:p>
    <w:p>
      <w:pPr>
        <w:pStyle w:val="Heading1"/>
      </w:pPr>
      <w:r>
        <w:t>9. Supporting and managing the child alleged to have caused harm</w:t>
      </w:r>
    </w:p>
    <w:p>
      <w:r>
        <w:t>The school will safeguard and support the child alleged to have caused harm while addressing behaviour firmly and appropriately. Responses may include safeguarding assessment, behaviour sanctions, restorative or educational work where safe and suitable, supervision changes and external-agency involvement. The school will consider whether the child may themselves be at risk of harm or exploitation.</w:t>
      </w:r>
    </w:p>
    <w:p>
      <w:pPr>
        <w:pStyle w:val="Heading1"/>
      </w:pPr>
      <w:r>
        <w:t>10. Sharing nudes and semi-nudes</w:t>
      </w:r>
    </w:p>
    <w:p>
      <w:r>
        <w:t>Staff must follow current UKCIS guidance and school safeguarding procedures. Staff should not view, copy, print, forward, store or ask a child to share an indecent image unless specifically authorised by the DSL within the narrow circumstances permitted by guidance. Devices may need to be secured and police advice sought.</w:t>
      </w:r>
    </w:p>
    <w:p>
      <w:pPr>
        <w:pStyle w:val="Heading1"/>
      </w:pPr>
      <w:r>
        <w:t>11. Recording and information sharing</w:t>
      </w:r>
    </w:p>
    <w:p>
      <w:r>
        <w:t>All reports, decisions, actions and rationales will be recorded on CPOMS or other secure safeguarding records. Information will be shared on a need-to-know basis in line with current statutory information-sharing guidance.</w:t>
      </w:r>
    </w:p>
    <w:p>
      <w:pPr>
        <w:pStyle w:val="Heading1"/>
      </w:pPr>
      <w:r>
        <w:t>12. Links with behaviour and anti-bullying procedures</w:t>
      </w:r>
    </w:p>
    <w:p>
      <w:r>
        <w:t>Some incidents may be managed under the Behaviour and Relationships or Anti-Bullying policies as well as safeguarding procedures. A safeguarding response takes priority where there is risk of harm. The existence of a police or social care process does not prevent the school from taking proportionate steps to keep pupils safe.</w:t>
      </w:r>
    </w:p>
    <w:p>
      <w:pPr>
        <w:pStyle w:val="Heading1"/>
      </w:pPr>
      <w:r>
        <w:t>13. Review</w:t>
      </w:r>
    </w:p>
    <w:p>
      <w:r>
        <w:t>The DSL will review significant incidents for patterns, lessons and preventative action. This policy is reviewed annually and following relevant changes to KCSIE or local procedures.</w:t>
      </w:r>
    </w:p>
    <w:p>
      <w:pPr>
        <w:pStyle w:val="Heading1"/>
      </w:pPr>
      <w:r>
        <w:t>Key legislation and guidance</w:t>
      </w:r>
    </w:p>
    <w:p>
      <w:pPr>
        <w:pStyle w:val="ListBullet"/>
      </w:pPr>
      <w:r>
        <w:t>Keeping Children Safe in Education 2026 (Department for Education).</w:t>
      </w:r>
    </w:p>
    <w:p>
      <w:pPr>
        <w:pStyle w:val="ListBullet"/>
      </w:pPr>
      <w:r>
        <w:t>Working Together to Safeguard Children 2026 (Department for Education).</w:t>
      </w:r>
    </w:p>
    <w:p>
      <w:pPr>
        <w:pStyle w:val="ListBullet"/>
      </w:pPr>
      <w:r>
        <w:t>Information Sharing to Safeguard Children and Young People, statutory guidance updated September 2026.</w:t>
      </w:r>
    </w:p>
    <w:p>
      <w:pPr>
        <w:pStyle w:val="ListBullet"/>
      </w:pPr>
      <w:r>
        <w:t>Hampshire County Council model Child Protection Policy, September 2026.</w:t>
      </w:r>
    </w:p>
    <w:p>
      <w:pPr>
        <w:pStyle w:val="ListBullet"/>
      </w:pPr>
      <w:r>
        <w:t>Hampshire County Council model Safeguarding Policy, September 2026.</w:t>
      </w:r>
    </w:p>
    <w:p>
      <w:pPr>
        <w:pStyle w:val="ListBullet"/>
      </w:pPr>
      <w:r>
        <w:t>Hampshire Safeguarding Children Partnership (HSCP) procedures and Hampshire Children’s Trust thresholds guidance.</w:t>
      </w:r>
    </w:p>
    <w:p>
      <w:pPr>
        <w:pStyle w:val="ListBullet"/>
      </w:pPr>
      <w:r>
        <w:t>Education Act 2002 and relevant safeguarding provisions applying to academies and free schools.</w:t>
      </w:r>
    </w:p>
    <w:p>
      <w:pPr>
        <w:pStyle w:val="ListBullet"/>
      </w:pPr>
      <w:r>
        <w:t>Children Act 1989 and Children Act 2004, as amended.</w:t>
      </w:r>
    </w:p>
    <w:p>
      <w:pPr>
        <w:pStyle w:val="ListBullet"/>
      </w:pPr>
      <w:r>
        <w:t>Equality Act 2010 and Human Rights Act 1998.</w:t>
      </w:r>
    </w:p>
    <w:sectPr w:rsidR="00FC693F" w:rsidRPr="0006063C" w:rsidSect="00034616">
      <w:headerReference w:type="default" r:id="rId9"/>
      <w:footerReference w:type="default" r:id="rId10"/>
      <w:pgSz w:w="12240" w:h="15840"/>
      <w:pgMar w:top="864" w:right="1037" w:bottom="864" w:left="103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666666"/>
        <w:sz w:val="16"/>
      </w:rPr>
      <w:t xml:space="preserve">Child-on-Child Abuse Policy  |  Hounsome Fields Primary School  |  </w:t>
    </w:r>
    <w:r>
      <w:t xml:space="preserve">Page </w:t>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color w:val="666666"/>
        <w:sz w:val="16"/>
      </w:rPr>
      <w:t>Hounsome Fields Primary School</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ascii="Aptos Display" w:hAnsi="Aptos Display"/>
      <w:b/>
      <w:bCs/>
      <w:color w:val="5B2A86"/>
      <w:sz w:val="32"/>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ascii="Aptos Display" w:hAnsi="Aptos Display"/>
      <w:b/>
      <w:bCs/>
      <w:color w:val="5B2A86"/>
      <w:sz w:val="26"/>
      <w:szCs w:val="26"/>
    </w:rPr>
  </w:style>
  <w:style w:type="paragraph" w:styleId="Heading3">
    <w:name w:val="heading 3"/>
    <w:basedOn w:val="Normal"/>
    <w:next w:val="Normal"/>
    <w:link w:val="Heading3Char"/>
    <w:uiPriority w:val="9"/>
    <w:unhideWhenUsed/>
    <w:qFormat/>
    <w:rsid w:val="00FC693F"/>
    <w:pPr>
      <w:keepNext/>
      <w:keepLines/>
      <w:spacing w:before="200" w:after="100"/>
      <w:outlineLvl w:val="2"/>
    </w:pPr>
    <w:rPr>
      <w:rFonts w:asciiTheme="majorHAnsi" w:eastAsiaTheme="majorEastAsia" w:hAnsiTheme="majorHAnsi" w:cstheme="majorBidi" w:ascii="Aptos Display" w:hAnsi="Aptos Display"/>
      <w:b/>
      <w:bCs/>
      <w:color w:val="5B2A86"/>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200"/>
      <w:contextualSpacing/>
    </w:pPr>
    <w:rPr>
      <w:rFonts w:asciiTheme="majorHAnsi" w:eastAsiaTheme="majorEastAsia" w:hAnsiTheme="majorHAnsi" w:cstheme="majorBidi" w:ascii="Aptos Display" w:hAnsi="Aptos Display"/>
      <w:b/>
      <w:color w:val="5B2A86"/>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png"/><Relationship Id="rId1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