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40"/>
        </w:rPr>
        <w:t>Hounsome Fields Primary School</w:t>
      </w:r>
    </w:p>
    <w:p>
      <w:pPr>
        <w:spacing w:before="560"/>
        <w:jc w:val="center"/>
      </w:pPr>
      <w:r>
        <w:rPr>
          <w:b/>
          <w:color w:val="5B2A86"/>
          <w:sz w:val="46"/>
        </w:rPr>
        <w:t>LOW-LEVEL CONCERNS POLICY</w:t>
      </w:r>
    </w:p>
    <w:p>
      <w:pPr>
        <w:jc w:val="center"/>
      </w:pPr>
      <w:r>
        <w:rPr>
          <w:b/>
          <w:sz w:val="36"/>
        </w:rPr>
        <w:t>2026–2027</w:t>
      </w:r>
    </w:p>
    <w:p>
      <w:pPr>
        <w:spacing w:before="320"/>
        <w:jc w:val="center"/>
      </w:pPr>
      <w:r>
        <w:drawing>
          <wp:inline xmlns:a="http://schemas.openxmlformats.org/drawingml/2006/main" xmlns:pic="http://schemas.openxmlformats.org/drawingml/2006/picture">
            <wp:extent cx="1554480" cy="1459079"/>
            <wp:docPr id="1" name="Picture 1"/>
            <wp:cNvGraphicFramePr>
              <a:graphicFrameLocks noChangeAspect="1"/>
            </wp:cNvGraphicFramePr>
            <a:graphic>
              <a:graphicData uri="http://schemas.openxmlformats.org/drawingml/2006/picture">
                <pic:pic>
                  <pic:nvPicPr>
                    <pic:cNvPr id="0" name="hfps_school_logo.png"/>
                    <pic:cNvPicPr/>
                  </pic:nvPicPr>
                  <pic:blipFill>
                    <a:blip r:embed="rId11"/>
                    <a:stretch>
                      <a:fillRect/>
                    </a:stretch>
                  </pic:blipFill>
                  <pic:spPr>
                    <a:xfrm>
                      <a:off x="0" y="0"/>
                      <a:ext cx="1554480" cy="1459079"/>
                    </a:xfrm>
                    <a:prstGeom prst="rect"/>
                  </pic:spPr>
                </pic:pic>
              </a:graphicData>
            </a:graphic>
          </wp:inline>
        </w:drawing>
      </w:r>
    </w:p>
    <w:tbl>
      <w:tblPr>
        <w:tblW w:type="auto" w:w="0"/>
        <w:jc w:val="center"/>
        <w:tblLayout w:type="fixed"/>
        <w:tblLook w:firstColumn="1" w:firstRow="1" w:lastColumn="0" w:lastRow="0" w:noHBand="0" w:noVBand="1" w:val="04A0"/>
      </w:tblPr>
      <w:tblGrid>
        <w:gridCol w:w="3168"/>
        <w:gridCol w:w="3168"/>
      </w:tblGrid>
      <w:tr>
        <w:tc>
          <w:tcPr>
            <w:tcW w:type="dxa" w:w="5083"/>
            <w:vAlign w:val="center"/>
          </w:tcPr>
          <w:p>
            <w:r/>
            <w:r>
              <w:rPr>
                <w:b/>
                <w:sz w:val="20"/>
              </w:rPr>
              <w:t>Date of Approval:</w:t>
            </w:r>
          </w:p>
        </w:tc>
        <w:tc>
          <w:tcPr>
            <w:tcW w:type="dxa" w:w="5083"/>
            <w:vAlign w:val="center"/>
          </w:tcPr>
          <w:p>
            <w:r/>
            <w:r>
              <w:rPr>
                <w:b w:val="0"/>
                <w:sz w:val="20"/>
              </w:rPr>
              <w:t>Autumn 2026</w:t>
            </w:r>
          </w:p>
        </w:tc>
      </w:tr>
      <w:tr>
        <w:tc>
          <w:tcPr>
            <w:tcW w:type="dxa" w:w="5083"/>
            <w:vAlign w:val="center"/>
          </w:tcPr>
          <w:p>
            <w:r/>
            <w:r>
              <w:rPr>
                <w:b/>
                <w:sz w:val="20"/>
              </w:rPr>
              <w:t>Date of Next Review:</w:t>
            </w:r>
          </w:p>
        </w:tc>
        <w:tc>
          <w:tcPr>
            <w:tcW w:type="dxa" w:w="5083"/>
            <w:vAlign w:val="center"/>
          </w:tcPr>
          <w:p>
            <w:r/>
            <w:r>
              <w:rPr>
                <w:b w:val="0"/>
                <w:sz w:val="20"/>
              </w:rPr>
              <w:t>Autumn 2027</w:t>
            </w:r>
          </w:p>
        </w:tc>
      </w:tr>
    </w:tbl>
    <w:p/>
    <w:p>
      <w:pPr>
        <w:jc w:val="center"/>
      </w:pPr>
      <w:r>
        <w:rPr>
          <w:color w:val="666666"/>
          <w:sz w:val="18"/>
        </w:rPr>
        <w:t>Treetop Avenue, Basingstoke, Hampshire, RG23 7GJ</w:t>
        <w:br/>
        <w:t>01276 930 264  |  info@hounsomefields.school</w:t>
      </w:r>
    </w:p>
    <w:p>
      <w:pPr>
        <w:jc w:val="right"/>
      </w:pPr>
      <w:r>
        <w:drawing>
          <wp:inline xmlns:a="http://schemas.openxmlformats.org/drawingml/2006/main" xmlns:pic="http://schemas.openxmlformats.org/drawingml/2006/picture">
            <wp:extent cx="685800" cy="498107"/>
            <wp:docPr id="2" name="Picture 2"/>
            <wp:cNvGraphicFramePr>
              <a:graphicFrameLocks noChangeAspect="1"/>
            </wp:cNvGraphicFramePr>
            <a:graphic>
              <a:graphicData uri="http://schemas.openxmlformats.org/drawingml/2006/picture">
                <pic:pic>
                  <pic:nvPicPr>
                    <pic:cNvPr id="0" name="eeea_logo.png"/>
                    <pic:cNvPicPr/>
                  </pic:nvPicPr>
                  <pic:blipFill>
                    <a:blip r:embed="rId12"/>
                    <a:stretch>
                      <a:fillRect/>
                    </a:stretch>
                  </pic:blipFill>
                  <pic:spPr>
                    <a:xfrm>
                      <a:off x="0" y="0"/>
                      <a:ext cx="685800" cy="498107"/>
                    </a:xfrm>
                    <a:prstGeom prst="rect"/>
                  </pic:spPr>
                </pic:pic>
              </a:graphicData>
            </a:graphic>
          </wp:inline>
        </w:drawing>
      </w:r>
    </w:p>
    <w:p>
      <w:r>
        <w:br w:type="page"/>
      </w:r>
    </w:p>
    <w:p>
      <w:pPr>
        <w:pStyle w:val="Heading1"/>
      </w:pPr>
      <w:r>
        <w:t>1. Purpose</w:t>
      </w:r>
    </w:p>
    <w:p>
      <w:r>
        <w:t>Hounsome Fields Primary School is committed to an open and transparent culture in which all concerns about adults working in or on behalf of the school are shared responsibly, recorded and dealt with promptly and appropriately. This policy applies where a concern does not initially meet the harm threshold for an allegation under Part Four of Keeping Children Safe in Education 2026.</w:t>
      </w:r>
    </w:p>
    <w:p>
      <w:pPr>
        <w:pStyle w:val="Heading1"/>
      </w:pPr>
      <w:r>
        <w:t>2. What is a low-level concern?</w:t>
      </w:r>
    </w:p>
    <w:p>
      <w:r>
        <w:t>A low-level concern is any concern – no matter how small, and even if it causes no more than a sense of unease or a “nagging doubt” – that an adult working in or on behalf of the school may have acted in a way that:</w:t>
      </w:r>
    </w:p>
    <w:p>
      <w:pPr>
        <w:pStyle w:val="ListBullet"/>
      </w:pPr>
      <w:r>
        <w:t>is inconsistent with the Staff Code of Conduct, including inappropriate conduct outside work;</w:t>
      </w:r>
    </w:p>
    <w:p>
      <w:pPr>
        <w:pStyle w:val="ListBullet"/>
      </w:pPr>
      <w:r>
        <w:t>does not meet the allegation/harm threshold or is otherwise not serious enough to consider a referral to the LADO at that stage.</w:t>
      </w:r>
    </w:p>
    <w:p>
      <w:r>
        <w:t>Examples may include being over-friendly with children, having favourites, taking photographs of children on a personal device contrary to policy, engaging with a child one-to-one in a secluded area or behind a closed door without good reason, using inappropriate or humiliating language, or conduct that blurs professional boundaries.</w:t>
      </w:r>
    </w:p>
    <w:p>
      <w:pPr>
        <w:pStyle w:val="Heading1"/>
      </w:pPr>
      <w:r>
        <w:t>3. Why concerns must be shared</w:t>
      </w:r>
    </w:p>
    <w:p>
      <w:r>
        <w:t>Sharing low-level concerns helps identify inappropriate or problematic behaviour early, protects children, supports a culture of professional accountability and enables patterns to be recognised. Staff should not wait for behaviour to become serious before raising a concern.</w:t>
      </w:r>
    </w:p>
    <w:p>
      <w:pPr>
        <w:pStyle w:val="Heading1"/>
      </w:pPr>
      <w:r>
        <w:t>4. Reporting arrangements</w:t>
      </w:r>
    </w:p>
    <w:p>
      <w:pPr>
        <w:pStyle w:val="ListBullet"/>
      </w:pPr>
      <w:r>
        <w:t>Concerns about a member of staff, volunteer, contractor or supply worker should be reported to the Headteacher as soon as reasonably possible.</w:t>
      </w:r>
    </w:p>
    <w:p>
      <w:pPr>
        <w:pStyle w:val="ListBullet"/>
      </w:pPr>
      <w:r>
        <w:t>Concerns about the Headteacher should be reported to the Chair of Governors / appropriate Trust representative.</w:t>
      </w:r>
    </w:p>
    <w:p>
      <w:pPr>
        <w:pStyle w:val="ListBullet"/>
      </w:pPr>
      <w:r>
        <w:t>If a person is unsure whether a concern is low-level or meets the harm threshold, it must still be reported. The Headteacher/Chair will decide the appropriate route and seek LADO advice where necessary.</w:t>
      </w:r>
    </w:p>
    <w:p>
      <w:pPr>
        <w:pStyle w:val="ListBullet"/>
      </w:pPr>
      <w:r>
        <w:t>Staff are encouraged to self-refer where they believe their own conduct may have fallen below expected professional standards.</w:t>
      </w:r>
    </w:p>
    <w:p>
      <w:pPr>
        <w:pStyle w:val="Heading1"/>
      </w:pPr>
      <w:r>
        <w:t>5. Recording</w:t>
      </w:r>
    </w:p>
    <w:p>
      <w:r>
        <w:t>A written record will be made of the concern, the context in which it arose, actions taken and the rationale for decisions. Records will be kept confidentially, securely and separately from routine personnel information where appropriate, in accordance with KCSIE and Trust data-retention arrangements.</w:t>
      </w:r>
    </w:p>
    <w:p>
      <w:pPr>
        <w:pStyle w:val="Heading1"/>
      </w:pPr>
      <w:r>
        <w:t>6. Responding to concerns</w:t>
      </w:r>
    </w:p>
    <w:p>
      <w:pPr>
        <w:pStyle w:val="ListNumber"/>
      </w:pPr>
      <w:r>
        <w:t>The Headteacher/Chair will review the information and determine whether the concern is low-level, meets the harm threshold, or should be managed through another process.</w:t>
      </w:r>
    </w:p>
    <w:p>
      <w:pPr>
        <w:pStyle w:val="ListNumber"/>
      </w:pPr>
      <w:r>
        <w:t>Where necessary, further factual information may be sought without conducting an inappropriate safeguarding investigation.</w:t>
      </w:r>
    </w:p>
    <w:p>
      <w:pPr>
        <w:pStyle w:val="ListNumber"/>
      </w:pPr>
      <w:r>
        <w:t>If the harm threshold may be met, the matter will be referred to the Hampshire LADO without delay and normally within one working day.</w:t>
      </w:r>
    </w:p>
    <w:p>
      <w:pPr>
        <w:pStyle w:val="ListNumber"/>
      </w:pPr>
      <w:r>
        <w:t>If the concern is low-level, proportionate action may include advice, clarification of expectations, additional training, management guidance, supervision or formal HR/disciplinary procedures where appropriate.</w:t>
      </w:r>
    </w:p>
    <w:p>
      <w:pPr>
        <w:pStyle w:val="ListNumber"/>
      </w:pPr>
      <w:r>
        <w:t>Any pattern of concerns will be reviewed to determine whether there is a wider safeguarding or cultural issue.</w:t>
      </w:r>
    </w:p>
    <w:p>
      <w:pPr>
        <w:pStyle w:val="Heading1"/>
      </w:pPr>
      <w:r>
        <w:t>7. Confidentiality and fairness</w:t>
      </w:r>
    </w:p>
    <w:p>
      <w:r>
        <w:t>Information will be shared only with those who need to know. The school will act fairly and proportionately while keeping the welfare of children paramount. Anonymous concerns will be considered where sufficient information is available, although staff are encouraged to identify themselves where possible.</w:t>
      </w:r>
    </w:p>
    <w:p>
      <w:pPr>
        <w:pStyle w:val="Heading1"/>
      </w:pPr>
      <w:r>
        <w:t>8. Links with other policies</w:t>
      </w:r>
    </w:p>
    <w:p>
      <w:pPr>
        <w:pStyle w:val="ListBullet"/>
      </w:pPr>
      <w:r>
        <w:t>Child Protection Policy</w:t>
      </w:r>
    </w:p>
    <w:p>
      <w:pPr>
        <w:pStyle w:val="ListBullet"/>
      </w:pPr>
      <w:r>
        <w:t>Safeguarding Policy</w:t>
      </w:r>
    </w:p>
    <w:p>
      <w:pPr>
        <w:pStyle w:val="ListBullet"/>
      </w:pPr>
      <w:r>
        <w:t>Staff Code of Conduct</w:t>
      </w:r>
    </w:p>
    <w:p>
      <w:pPr>
        <w:pStyle w:val="ListBullet"/>
      </w:pPr>
      <w:r>
        <w:t>Whistleblowing Policy</w:t>
      </w:r>
    </w:p>
    <w:p>
      <w:pPr>
        <w:pStyle w:val="ListBullet"/>
      </w:pPr>
      <w:r>
        <w:t>Complaints Policy</w:t>
      </w:r>
    </w:p>
    <w:p>
      <w:pPr>
        <w:pStyle w:val="ListBullet"/>
      </w:pPr>
      <w:r>
        <w:t>Disciplinary procedures and Trust HR policies</w:t>
      </w:r>
    </w:p>
    <w:p>
      <w:pPr>
        <w:pStyle w:val="Heading1"/>
      </w:pPr>
      <w:r>
        <w:t>9. Review</w:t>
      </w:r>
    </w:p>
    <w:p>
      <w:r>
        <w:t>The policy will be reviewed annually and whenever Keeping Children Safe in Education or local LADO procedures change.</w:t>
      </w:r>
    </w:p>
    <w:p>
      <w:pPr>
        <w:pStyle w:val="Heading1"/>
      </w:pPr>
      <w:r>
        <w:t>Key legislation and guidance</w:t>
      </w:r>
    </w:p>
    <w:p>
      <w:pPr>
        <w:pStyle w:val="ListBullet"/>
      </w:pPr>
      <w:r>
        <w:t>Keeping Children Safe in Education 2026 (Department for Education).</w:t>
      </w:r>
    </w:p>
    <w:p>
      <w:pPr>
        <w:pStyle w:val="ListBullet"/>
      </w:pPr>
      <w:r>
        <w:t>Working Together to Safeguard Children 2026 (Department for Education).</w:t>
      </w:r>
    </w:p>
    <w:p>
      <w:pPr>
        <w:pStyle w:val="ListBullet"/>
      </w:pPr>
      <w:r>
        <w:t>Information Sharing to Safeguard Children and Young People, statutory guidance updated September 2026.</w:t>
      </w:r>
    </w:p>
    <w:p>
      <w:pPr>
        <w:pStyle w:val="ListBullet"/>
      </w:pPr>
      <w:r>
        <w:t>Hampshire County Council model Child Protection Policy, September 2026.</w:t>
      </w:r>
    </w:p>
    <w:p>
      <w:pPr>
        <w:pStyle w:val="ListBullet"/>
      </w:pPr>
      <w:r>
        <w:t>Hampshire County Council model Safeguarding Policy, September 2026.</w:t>
      </w:r>
    </w:p>
    <w:p>
      <w:pPr>
        <w:pStyle w:val="ListBullet"/>
      </w:pPr>
      <w:r>
        <w:t>Hampshire Safeguarding Children Partnership (HSCP) procedures and Hampshire Children’s Trust thresholds guidance.</w:t>
      </w:r>
    </w:p>
    <w:p>
      <w:pPr>
        <w:pStyle w:val="ListBullet"/>
      </w:pPr>
      <w:r>
        <w:t>Education Act 2002 and relevant safeguarding provisions applying to academies and free schools.</w:t>
      </w:r>
    </w:p>
    <w:p>
      <w:pPr>
        <w:pStyle w:val="ListBullet"/>
      </w:pPr>
      <w:r>
        <w:t>Children Act 1989 and Children Act 2004, as amended.</w:t>
      </w:r>
    </w:p>
    <w:p>
      <w:pPr>
        <w:pStyle w:val="ListBullet"/>
      </w:pPr>
      <w:r>
        <w:t>Equality Act 2010 and Human Rights Act 1998.</w:t>
      </w:r>
    </w:p>
    <w:sectPr w:rsidR="00FC693F" w:rsidRPr="0006063C" w:rsidSect="00034616">
      <w:headerReference w:type="default" r:id="rId9"/>
      <w:footerReference w:type="default" r:id="rId10"/>
      <w:pgSz w:w="12240" w:h="15840"/>
      <w:pgMar w:top="864" w:right="1037" w:bottom="864" w:left="10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666666"/>
        <w:sz w:val="16"/>
      </w:rPr>
      <w:t xml:space="preserve">Low-Level Concerns Policy  |  Hounsome Fields Primary School  |  </w:t>
    </w:r>
    <w:r>
      <w:t xml:space="preserve">Page </w:t>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color w:val="666666"/>
        <w:sz w:val="16"/>
      </w:rPr>
      <w:t>Hounsome Fields Primary School</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5B2A86"/>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Aptos Display" w:hAnsi="Aptos Display"/>
      <w:b/>
      <w:bCs/>
      <w:color w:val="5B2A86"/>
      <w:sz w:val="26"/>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ascii="Aptos Display" w:hAnsi="Aptos Display"/>
      <w:b/>
      <w:bCs/>
      <w:color w:val="5B2A86"/>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200"/>
      <w:contextualSpacing/>
    </w:pPr>
    <w:rPr>
      <w:rFonts w:asciiTheme="majorHAnsi" w:eastAsiaTheme="majorEastAsia" w:hAnsiTheme="majorHAnsi" w:cstheme="majorBidi" w:ascii="Aptos Display" w:hAnsi="Aptos Display"/>
      <w:b/>
      <w:color w:val="5B2A86"/>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