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40"/>
        </w:rPr>
        <w:t>Hounsome Fields Primary School</w:t>
      </w:r>
    </w:p>
    <w:p>
      <w:pPr>
        <w:spacing w:before="560"/>
        <w:jc w:val="center"/>
      </w:pPr>
      <w:r>
        <w:rPr>
          <w:b/>
          <w:color w:val="5B2A86"/>
          <w:sz w:val="46"/>
        </w:rPr>
        <w:t>POSITIVE HANDLING AND RESTRICTIVE INTERVENTIONS POLICY</w:t>
      </w:r>
    </w:p>
    <w:p>
      <w:pPr>
        <w:jc w:val="center"/>
      </w:pPr>
      <w:r>
        <w:rPr>
          <w:b/>
          <w:sz w:val="36"/>
        </w:rPr>
        <w:t>2026–2027</w:t>
      </w:r>
    </w:p>
    <w:p>
      <w:pPr>
        <w:spacing w:before="320"/>
        <w:jc w:val="center"/>
      </w:pPr>
      <w:r>
        <w:drawing>
          <wp:inline xmlns:a="http://schemas.openxmlformats.org/drawingml/2006/main" xmlns:pic="http://schemas.openxmlformats.org/drawingml/2006/picture">
            <wp:extent cx="1554480" cy="1459079"/>
            <wp:docPr id="1" name="Picture 1"/>
            <wp:cNvGraphicFramePr>
              <a:graphicFrameLocks noChangeAspect="1"/>
            </wp:cNvGraphicFramePr>
            <a:graphic>
              <a:graphicData uri="http://schemas.openxmlformats.org/drawingml/2006/picture">
                <pic:pic>
                  <pic:nvPicPr>
                    <pic:cNvPr id="0" name="hfps_school_logo.png"/>
                    <pic:cNvPicPr/>
                  </pic:nvPicPr>
                  <pic:blipFill>
                    <a:blip r:embed="rId11"/>
                    <a:stretch>
                      <a:fillRect/>
                    </a:stretch>
                  </pic:blipFill>
                  <pic:spPr>
                    <a:xfrm>
                      <a:off x="0" y="0"/>
                      <a:ext cx="1554480" cy="1459079"/>
                    </a:xfrm>
                    <a:prstGeom prst="rect"/>
                  </pic:spPr>
                </pic:pic>
              </a:graphicData>
            </a:graphic>
          </wp:inline>
        </w:drawing>
      </w:r>
    </w:p>
    <w:tbl>
      <w:tblPr>
        <w:tblW w:type="auto" w:w="0"/>
        <w:jc w:val="center"/>
        <w:tblLayout w:type="fixed"/>
        <w:tblLook w:firstColumn="1" w:firstRow="1" w:lastColumn="0" w:lastRow="0" w:noHBand="0" w:noVBand="1" w:val="04A0"/>
      </w:tblPr>
      <w:tblGrid>
        <w:gridCol w:w="3168"/>
        <w:gridCol w:w="3168"/>
      </w:tblGrid>
      <w:tr>
        <w:tc>
          <w:tcPr>
            <w:tcW w:type="dxa" w:w="5083"/>
            <w:vAlign w:val="center"/>
          </w:tcPr>
          <w:p>
            <w:r/>
            <w:r>
              <w:rPr>
                <w:b/>
                <w:sz w:val="20"/>
              </w:rPr>
              <w:t>Date of Approval:</w:t>
            </w:r>
          </w:p>
        </w:tc>
        <w:tc>
          <w:tcPr>
            <w:tcW w:type="dxa" w:w="5083"/>
            <w:vAlign w:val="center"/>
          </w:tcPr>
          <w:p>
            <w:r/>
            <w:r>
              <w:rPr>
                <w:b w:val="0"/>
                <w:sz w:val="20"/>
              </w:rPr>
              <w:t>Autumn 2026</w:t>
            </w:r>
          </w:p>
        </w:tc>
      </w:tr>
      <w:tr>
        <w:tc>
          <w:tcPr>
            <w:tcW w:type="dxa" w:w="5083"/>
            <w:vAlign w:val="center"/>
          </w:tcPr>
          <w:p>
            <w:r/>
            <w:r>
              <w:rPr>
                <w:b/>
                <w:sz w:val="20"/>
              </w:rPr>
              <w:t>Date of Next Review:</w:t>
            </w:r>
          </w:p>
        </w:tc>
        <w:tc>
          <w:tcPr>
            <w:tcW w:type="dxa" w:w="5083"/>
            <w:vAlign w:val="center"/>
          </w:tcPr>
          <w:p>
            <w:r/>
            <w:r>
              <w:rPr>
                <w:b w:val="0"/>
                <w:sz w:val="20"/>
              </w:rPr>
              <w:t>Autumn 2027</w:t>
            </w:r>
          </w:p>
        </w:tc>
      </w:tr>
    </w:tbl>
    <w:p/>
    <w:p>
      <w:pPr>
        <w:jc w:val="center"/>
      </w:pPr>
      <w:r>
        <w:rPr>
          <w:color w:val="666666"/>
          <w:sz w:val="18"/>
        </w:rPr>
        <w:t>Treetop Avenue, Basingstoke, Hampshire, RG23 7GJ</w:t>
        <w:br/>
        <w:t>01276 930 264  |  info@hounsomefields.school</w:t>
      </w:r>
    </w:p>
    <w:p>
      <w:pPr>
        <w:jc w:val="right"/>
      </w:pPr>
      <w:r>
        <w:drawing>
          <wp:inline xmlns:a="http://schemas.openxmlformats.org/drawingml/2006/main" xmlns:pic="http://schemas.openxmlformats.org/drawingml/2006/picture">
            <wp:extent cx="685800" cy="498107"/>
            <wp:docPr id="2" name="Picture 2"/>
            <wp:cNvGraphicFramePr>
              <a:graphicFrameLocks noChangeAspect="1"/>
            </wp:cNvGraphicFramePr>
            <a:graphic>
              <a:graphicData uri="http://schemas.openxmlformats.org/drawingml/2006/picture">
                <pic:pic>
                  <pic:nvPicPr>
                    <pic:cNvPr id="0" name="eeea_logo.png"/>
                    <pic:cNvPicPr/>
                  </pic:nvPicPr>
                  <pic:blipFill>
                    <a:blip r:embed="rId12"/>
                    <a:stretch>
                      <a:fillRect/>
                    </a:stretch>
                  </pic:blipFill>
                  <pic:spPr>
                    <a:xfrm>
                      <a:off x="0" y="0"/>
                      <a:ext cx="685800" cy="498107"/>
                    </a:xfrm>
                    <a:prstGeom prst="rect"/>
                  </pic:spPr>
                </pic:pic>
              </a:graphicData>
            </a:graphic>
          </wp:inline>
        </w:drawing>
      </w:r>
    </w:p>
    <w:p>
      <w:r>
        <w:br w:type="page"/>
      </w:r>
    </w:p>
    <w:p>
      <w:pPr>
        <w:pStyle w:val="Heading1"/>
      </w:pPr>
      <w:r>
        <w:t>1. Purpose and principles</w:t>
      </w:r>
    </w:p>
    <w:p>
      <w:r>
        <w:t>Hounsome Fields Primary School is committed to reducing the need for restrictive interventions through positive relationships, careful planning, reasonable adjustments, de-escalation and support. There are limited circumstances in which staff may use reasonable force or another restrictive intervention. Any intervention must be lawful, necessary, proportionate and used for the least amount of time.</w:t>
      </w:r>
    </w:p>
    <w:p>
      <w:r>
        <w:t>The school does not operate a “no contact” policy. Appropriate physical contact may be necessary to guide, comfort, protect or support a child. Restrictive interventions are distinct from ordinary appropriate physical contact.</w:t>
      </w:r>
    </w:p>
    <w:p>
      <w:pPr>
        <w:pStyle w:val="Heading1"/>
      </w:pPr>
      <w:r>
        <w:t>2. Legal and guidance framework</w:t>
      </w:r>
    </w:p>
    <w:p>
      <w:r>
        <w:t>This policy reflects the Education and Inspections Act 2006 and the Department for Education guidance “Restrictive interventions, including the use of reasonable force, in schools”, effective from 1 April 2026. It should be read alongside the Behaviour and Relationships, Safeguarding, Child Protection, SEND, Health and Safety and Staff Code of Conduct policies.</w:t>
      </w:r>
    </w:p>
    <w:p>
      <w:pPr>
        <w:pStyle w:val="Heading1"/>
      </w:pPr>
      <w:r>
        <w:t>3. Definitions</w:t>
      </w:r>
    </w:p>
    <w:p>
      <w:r>
        <w:t>Reasonable force is physical force that is reasonable in the circumstances. Restrictive intervention is a broader term that includes physical restraint and, where relevant, seclusion or other restrictions on a pupil’s movement. “Reasonable” means using no more force than is necessary, for the least amount of time, taking account of the circumstances and the pupil’s needs.</w:t>
      </w:r>
    </w:p>
    <w:p>
      <w:pPr>
        <w:pStyle w:val="Heading1"/>
      </w:pPr>
      <w:r>
        <w:t>4. When reasonable force may be used</w:t>
      </w:r>
    </w:p>
    <w:p>
      <w:r>
        <w:t>Authorised school staff may use reasonable force where necessary to prevent a pupil from:</w:t>
      </w:r>
    </w:p>
    <w:p>
      <w:pPr>
        <w:pStyle w:val="ListBullet"/>
      </w:pPr>
      <w:r>
        <w:t>committing an offence;</w:t>
      </w:r>
    </w:p>
    <w:p>
      <w:pPr>
        <w:pStyle w:val="ListBullet"/>
      </w:pPr>
      <w:r>
        <w:t>causing personal injury to themselves or another person;</w:t>
      </w:r>
    </w:p>
    <w:p>
      <w:pPr>
        <w:pStyle w:val="ListBullet"/>
      </w:pPr>
      <w:r>
        <w:t>damaging property;</w:t>
      </w:r>
    </w:p>
    <w:p>
      <w:pPr>
        <w:pStyle w:val="ListBullet"/>
      </w:pPr>
      <w:r>
        <w:t>prejudicing the maintenance of good order and discipline where the legal test for reasonable force is met.</w:t>
      </w:r>
    </w:p>
    <w:p>
      <w:r>
        <w:t>Force must never be used as a punishment or to cause pain, humiliation, fear or compliance for its own sake.</w:t>
      </w:r>
    </w:p>
    <w:p>
      <w:pPr>
        <w:pStyle w:val="Heading1"/>
      </w:pPr>
      <w:r>
        <w:t>5. Prevention and de-escalation</w:t>
      </w:r>
    </w:p>
    <w:p>
      <w:pPr>
        <w:pStyle w:val="ListBullet"/>
      </w:pPr>
      <w:r>
        <w:t>know the child and recognise early signs of distress or escalation;</w:t>
      </w:r>
    </w:p>
    <w:p>
      <w:pPr>
        <w:pStyle w:val="ListBullet"/>
      </w:pPr>
      <w:r>
        <w:t>use calm communication, reduced language and appropriate processing time;</w:t>
      </w:r>
    </w:p>
    <w:p>
      <w:pPr>
        <w:pStyle w:val="ListBullet"/>
      </w:pPr>
      <w:r>
        <w:t>offer choices, space, movement, sensory regulation or a change of adult/environment where appropriate;</w:t>
      </w:r>
    </w:p>
    <w:p>
      <w:pPr>
        <w:pStyle w:val="ListBullet"/>
      </w:pPr>
      <w:r>
        <w:t>remove avoidable triggers and make reasonable adjustments for SEND, trauma, communication and medical needs;</w:t>
      </w:r>
    </w:p>
    <w:p>
      <w:pPr>
        <w:pStyle w:val="ListBullet"/>
      </w:pPr>
      <w:r>
        <w:t>use individual plans and risk assessments for pupils where restrictive intervention is foreseeable;</w:t>
      </w:r>
    </w:p>
    <w:p>
      <w:pPr>
        <w:pStyle w:val="ListBullet"/>
      </w:pPr>
      <w:r>
        <w:t>seek support early and avoid unnecessary audience, confrontation or crowding.</w:t>
      </w:r>
    </w:p>
    <w:p>
      <w:pPr>
        <w:pStyle w:val="Heading1"/>
      </w:pPr>
      <w:r>
        <w:t>6. Planned interventions</w:t>
      </w:r>
    </w:p>
    <w:p>
      <w:r>
        <w:t>Where a pupil is known to present a foreseeable risk of serious harm, an individual risk assessment and positive handling plan may be developed with parents/carers and, where appropriate, relevant professionals. The plan will identify triggers, preventative strategies, preferred approaches, risks, authorised staff and post-incident support. Plans must not authorise unlawful or disproportionate force.</w:t>
      </w:r>
    </w:p>
    <w:p>
      <w:pPr>
        <w:pStyle w:val="Heading1"/>
      </w:pPr>
      <w:r>
        <w:t>7. During an intervention</w:t>
      </w:r>
    </w:p>
    <w:p>
      <w:pPr>
        <w:pStyle w:val="ListBullet"/>
      </w:pPr>
      <w:r>
        <w:t>use the minimum level of force necessary and stop as soon as it is no longer required;</w:t>
      </w:r>
    </w:p>
    <w:p>
      <w:pPr>
        <w:pStyle w:val="ListBullet"/>
      </w:pPr>
      <w:r>
        <w:t>continue to communicate and reassure where possible;</w:t>
      </w:r>
    </w:p>
    <w:p>
      <w:pPr>
        <w:pStyle w:val="ListBullet"/>
      </w:pPr>
      <w:r>
        <w:t>protect breathing, circulation and dignity and avoid dangerous restraint positions;</w:t>
      </w:r>
    </w:p>
    <w:p>
      <w:pPr>
        <w:pStyle w:val="ListBullet"/>
      </w:pPr>
      <w:r>
        <w:t>summon assistance where necessary;</w:t>
      </w:r>
    </w:p>
    <w:p>
      <w:pPr>
        <w:pStyle w:val="ListBullet"/>
      </w:pPr>
      <w:r>
        <w:t>consider medical needs and seek first aid or emergency assistance if required;</w:t>
      </w:r>
    </w:p>
    <w:p>
      <w:pPr>
        <w:pStyle w:val="ListBullet"/>
      </w:pPr>
      <w:r>
        <w:t>where seclusion is used, follow the current statutory requirements and DfE guidance.</w:t>
      </w:r>
    </w:p>
    <w:p>
      <w:pPr>
        <w:pStyle w:val="Heading1"/>
      </w:pPr>
      <w:r>
        <w:t>8. Recording and reporting</w:t>
      </w:r>
    </w:p>
    <w:p>
      <w:r>
        <w:t>The school will record every incident that meets the statutory recording threshold for significant use of force and every use of seclusion, in line with the requirements effective from April 2026. Records will include the circumstances, intervention used, duration, staff involved, injury or medical attention, actions taken and follow-up.</w:t>
      </w:r>
    </w:p>
    <w:p>
      <w:r>
        <w:t>Parents/carers will be informed as soon as practicable where the statutory reporting duty applies, unless an exception in law or safeguarding consideration requires a different approach. The Headteacher/DSL will determine and record the rationale for any such decision.</w:t>
      </w:r>
    </w:p>
    <w:p>
      <w:pPr>
        <w:pStyle w:val="Heading1"/>
      </w:pPr>
      <w:r>
        <w:t>9. After an incident</w:t>
      </w:r>
    </w:p>
    <w:p>
      <w:pPr>
        <w:pStyle w:val="ListBullet"/>
      </w:pPr>
      <w:r>
        <w:t>check the wellbeing and any injuries of the child and staff involved;</w:t>
      </w:r>
    </w:p>
    <w:p>
      <w:pPr>
        <w:pStyle w:val="ListBullet"/>
      </w:pPr>
      <w:r>
        <w:t>offer appropriate first aid or medical assessment;</w:t>
      </w:r>
    </w:p>
    <w:p>
      <w:pPr>
        <w:pStyle w:val="ListBullet"/>
      </w:pPr>
      <w:r>
        <w:t>provide emotional support and a calm recovery period;</w:t>
      </w:r>
    </w:p>
    <w:p>
      <w:pPr>
        <w:pStyle w:val="ListBullet"/>
      </w:pPr>
      <w:r>
        <w:t>debrief staff and, when appropriate, the child using a restorative and learning-focused approach;</w:t>
      </w:r>
    </w:p>
    <w:p>
      <w:pPr>
        <w:pStyle w:val="ListBullet"/>
      </w:pPr>
      <w:r>
        <w:t>review the pupil’s risk assessment/plan and consider whether additional support or external advice is required;</w:t>
      </w:r>
    </w:p>
    <w:p>
      <w:pPr>
        <w:pStyle w:val="ListBullet"/>
      </w:pPr>
      <w:r>
        <w:t>consider whether the incident raises a safeguarding concern and refer to the DSL where necessary.</w:t>
      </w:r>
    </w:p>
    <w:p>
      <w:pPr>
        <w:pStyle w:val="Heading1"/>
      </w:pPr>
      <w:r>
        <w:t>10. SEND, disability and equality</w:t>
      </w:r>
    </w:p>
    <w:p>
      <w:r>
        <w:t>Staff must consider a pupil’s SEND, disability, communication profile, trauma history, sensory needs and medical conditions before, during and after intervention. Reasonable adjustments will be made and restrictive interventions will not be used in a discriminatory manner.</w:t>
      </w:r>
    </w:p>
    <w:p>
      <w:pPr>
        <w:pStyle w:val="Heading1"/>
      </w:pPr>
      <w:r>
        <w:t>11. Staff training and authorisation</w:t>
      </w:r>
    </w:p>
    <w:p>
      <w:r>
        <w:t>All staff receive guidance on lawful physical contact, de-escalation and the school’s expectations. Staff who are likely to use planned restrictive interventions receive appropriate practical training from a suitable provider. In an emergency, the legal power to use reasonable force is not limited only to staff who have completed a particular restraint course, but staff must act within their competence and the law.</w:t>
      </w:r>
    </w:p>
    <w:p>
      <w:pPr>
        <w:pStyle w:val="Heading1"/>
      </w:pPr>
      <w:r>
        <w:t>12. Complaints, concerns and safeguarding</w:t>
      </w:r>
    </w:p>
    <w:p>
      <w:r>
        <w:t>Any concern about the inappropriate or excessive use of force will be taken seriously and considered under safeguarding, low-level concerns, complaints or disciplinary procedures as appropriate. Where the harm threshold may be met, the LADO procedure will be followed.</w:t>
      </w:r>
    </w:p>
    <w:p>
      <w:pPr>
        <w:pStyle w:val="Heading1"/>
      </w:pPr>
      <w:r>
        <w:t>13. Monitoring</w:t>
      </w:r>
    </w:p>
    <w:p>
      <w:r>
        <w:t>The Headteacher and safeguarding leadership will review records of restrictive interventions for frequency, patterns, disproportionality, repeat use, injuries and opportunities to reduce future use. Governors/trustees will receive appropriate oversight information without unnecessary personal data.</w:t>
      </w:r>
    </w:p>
    <w:p>
      <w:pPr>
        <w:pStyle w:val="Heading1"/>
      </w:pPr>
      <w:r>
        <w:t>14. Review</w:t>
      </w:r>
    </w:p>
    <w:p>
      <w:r>
        <w:t>This policy will be reviewed annually and whenever statutory guidance or recording/reporting requirements change.</w:t>
      </w:r>
    </w:p>
    <w:p>
      <w:pPr>
        <w:pStyle w:val="Heading1"/>
      </w:pPr>
      <w:r>
        <w:t>Key legislation and guidance</w:t>
      </w:r>
    </w:p>
    <w:p>
      <w:pPr>
        <w:pStyle w:val="ListBullet"/>
      </w:pPr>
      <w:r>
        <w:t>Keeping Children Safe in Education 2026 (Department for Education).</w:t>
      </w:r>
    </w:p>
    <w:p>
      <w:pPr>
        <w:pStyle w:val="ListBullet"/>
      </w:pPr>
      <w:r>
        <w:t>Working Together to Safeguard Children 2026 (Department for Education).</w:t>
      </w:r>
    </w:p>
    <w:p>
      <w:pPr>
        <w:pStyle w:val="ListBullet"/>
      </w:pPr>
      <w:r>
        <w:t>Information Sharing to Safeguard Children and Young People, statutory guidance updated September 2026.</w:t>
      </w:r>
    </w:p>
    <w:p>
      <w:pPr>
        <w:pStyle w:val="ListBullet"/>
      </w:pPr>
      <w:r>
        <w:t>Hampshire County Council model Child Protection Policy, September 2026.</w:t>
      </w:r>
    </w:p>
    <w:p>
      <w:pPr>
        <w:pStyle w:val="ListBullet"/>
      </w:pPr>
      <w:r>
        <w:t>Hampshire County Council model Safeguarding Policy, September 2026.</w:t>
      </w:r>
    </w:p>
    <w:p>
      <w:pPr>
        <w:pStyle w:val="ListBullet"/>
      </w:pPr>
      <w:r>
        <w:t>Hampshire Safeguarding Children Partnership (HSCP) procedures and Hampshire Children’s Trust thresholds guidance.</w:t>
      </w:r>
    </w:p>
    <w:p>
      <w:pPr>
        <w:pStyle w:val="ListBullet"/>
      </w:pPr>
      <w:r>
        <w:t>Education Act 2002 and relevant safeguarding provisions applying to academies and free schools.</w:t>
      </w:r>
    </w:p>
    <w:p>
      <w:pPr>
        <w:pStyle w:val="ListBullet"/>
      </w:pPr>
      <w:r>
        <w:t>Children Act 1989 and Children Act 2004, as amended.</w:t>
      </w:r>
    </w:p>
    <w:p>
      <w:pPr>
        <w:pStyle w:val="ListBullet"/>
      </w:pPr>
      <w:r>
        <w:t>Equality Act 2010 and Human Rights Act 1998.</w:t>
      </w:r>
    </w:p>
    <w:p>
      <w:pPr>
        <w:pStyle w:val="ListBullet"/>
      </w:pPr>
      <w:r>
        <w:t>Restrictive interventions, including the use of reasonable force, in schools (Department for Education), effective 1 April 2026.</w:t>
      </w:r>
    </w:p>
    <w:p>
      <w:pPr>
        <w:pStyle w:val="ListBullet"/>
      </w:pPr>
      <w:r>
        <w:t>Schools (Recording and Reporting of Seclusion and Restraint) (No. 2) (England) Regulations 2025.</w:t>
      </w:r>
    </w:p>
    <w:sectPr w:rsidR="00FC693F" w:rsidRPr="0006063C" w:rsidSect="00034616">
      <w:headerReference w:type="default" r:id="rId9"/>
      <w:footerReference w:type="default" r:id="rId10"/>
      <w:pgSz w:w="12240" w:h="15840"/>
      <w:pgMar w:top="864" w:right="1037" w:bottom="864" w:left="103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color w:val="666666"/>
        <w:sz w:val="16"/>
      </w:rPr>
      <w:t xml:space="preserve">Restrictive Interventions Policy  |  Hounsome Fields Primary School  |  </w:t>
    </w:r>
    <w:r>
      <w:t xml:space="preserve">Page </w:t>
      <w:fldChar w:fldCharType="begin"/>
      <w:instrText xml:space="preserve"> PAGE </w:instrTex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Pr>
    <w:r>
      <w:rPr>
        <w:color w:val="666666"/>
        <w:sz w:val="16"/>
      </w:rPr>
      <w:t>Hounsome Fields Primary School</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59" w:lineRule="auto"/>
    </w:pPr>
    <w:rPr>
      <w:rFonts w:ascii="Aptos" w:hAnsi="Aptos"/>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00" w:after="100"/>
      <w:outlineLvl w:val="0"/>
    </w:pPr>
    <w:rPr>
      <w:rFonts w:asciiTheme="majorHAnsi" w:eastAsiaTheme="majorEastAsia" w:hAnsiTheme="majorHAnsi" w:cstheme="majorBidi" w:ascii="Aptos Display" w:hAnsi="Aptos Display"/>
      <w:b/>
      <w:bCs/>
      <w:color w:val="5B2A86"/>
      <w:sz w:val="32"/>
      <w:szCs w:val="28"/>
    </w:rPr>
  </w:style>
  <w:style w:type="paragraph" w:styleId="Heading2">
    <w:name w:val="heading 2"/>
    <w:basedOn w:val="Normal"/>
    <w:next w:val="Normal"/>
    <w:link w:val="Heading2Char"/>
    <w:uiPriority w:val="9"/>
    <w:unhideWhenUsed/>
    <w:qFormat/>
    <w:rsid w:val="00FC693F"/>
    <w:pPr>
      <w:keepNext/>
      <w:keepLines/>
      <w:spacing w:before="200" w:after="100"/>
      <w:outlineLvl w:val="1"/>
    </w:pPr>
    <w:rPr>
      <w:rFonts w:asciiTheme="majorHAnsi" w:eastAsiaTheme="majorEastAsia" w:hAnsiTheme="majorHAnsi" w:cstheme="majorBidi" w:ascii="Aptos Display" w:hAnsi="Aptos Display"/>
      <w:b/>
      <w:bCs/>
      <w:color w:val="5B2A86"/>
      <w:sz w:val="26"/>
      <w:szCs w:val="26"/>
    </w:rPr>
  </w:style>
  <w:style w:type="paragraph" w:styleId="Heading3">
    <w:name w:val="heading 3"/>
    <w:basedOn w:val="Normal"/>
    <w:next w:val="Normal"/>
    <w:link w:val="Heading3Char"/>
    <w:uiPriority w:val="9"/>
    <w:unhideWhenUsed/>
    <w:qFormat/>
    <w:rsid w:val="00FC693F"/>
    <w:pPr>
      <w:keepNext/>
      <w:keepLines/>
      <w:spacing w:before="200" w:after="100"/>
      <w:outlineLvl w:val="2"/>
    </w:pPr>
    <w:rPr>
      <w:rFonts w:asciiTheme="majorHAnsi" w:eastAsiaTheme="majorEastAsia" w:hAnsiTheme="majorHAnsi" w:cstheme="majorBidi" w:ascii="Aptos Display" w:hAnsi="Aptos Display"/>
      <w:b/>
      <w:bCs/>
      <w:color w:val="5B2A86"/>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100" w:line="240" w:lineRule="auto" w:before="200"/>
      <w:contextualSpacing/>
    </w:pPr>
    <w:rPr>
      <w:rFonts w:asciiTheme="majorHAnsi" w:eastAsiaTheme="majorEastAsia" w:hAnsiTheme="majorHAnsi" w:cstheme="majorBidi" w:ascii="Aptos Display" w:hAnsi="Aptos Display"/>
      <w:b/>
      <w:color w:val="5B2A86"/>
      <w:spacing w:val="5"/>
      <w:kern w:val="28"/>
      <w:sz w:val="4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image" Target="media/image1.png"/><Relationship Id="rId1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