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0"/>
        </w:rPr>
        <w:t>Hounsome Fields Primary School</w:t>
      </w:r>
    </w:p>
    <w:p>
      <w:pPr>
        <w:spacing w:before="560"/>
        <w:jc w:val="center"/>
      </w:pPr>
      <w:r>
        <w:rPr>
          <w:b/>
          <w:color w:val="5B2A86"/>
          <w:sz w:val="46"/>
        </w:rPr>
        <w:t>SAFEGUARDING POLICY</w:t>
      </w:r>
    </w:p>
    <w:p>
      <w:pPr>
        <w:jc w:val="center"/>
      </w:pPr>
      <w:r>
        <w:rPr>
          <w:b/>
          <w:sz w:val="36"/>
        </w:rPr>
        <w:t>2026–2027</w:t>
      </w:r>
    </w:p>
    <w:p>
      <w:pPr>
        <w:spacing w:before="320"/>
        <w:jc w:val="center"/>
      </w:pPr>
      <w:r>
        <w:drawing>
          <wp:inline xmlns:a="http://schemas.openxmlformats.org/drawingml/2006/main" xmlns:pic="http://schemas.openxmlformats.org/drawingml/2006/picture">
            <wp:extent cx="1554480" cy="1459079"/>
            <wp:docPr id="1" name="Picture 1"/>
            <wp:cNvGraphicFramePr>
              <a:graphicFrameLocks noChangeAspect="1"/>
            </wp:cNvGraphicFramePr>
            <a:graphic>
              <a:graphicData uri="http://schemas.openxmlformats.org/drawingml/2006/picture">
                <pic:pic>
                  <pic:nvPicPr>
                    <pic:cNvPr id="0" name="hfps_school_logo.png"/>
                    <pic:cNvPicPr/>
                  </pic:nvPicPr>
                  <pic:blipFill>
                    <a:blip r:embed="rId11"/>
                    <a:stretch>
                      <a:fillRect/>
                    </a:stretch>
                  </pic:blipFill>
                  <pic:spPr>
                    <a:xfrm>
                      <a:off x="0" y="0"/>
                      <a:ext cx="1554480" cy="1459079"/>
                    </a:xfrm>
                    <a:prstGeom prst="rect"/>
                  </pic:spPr>
                </pic:pic>
              </a:graphicData>
            </a:graphic>
          </wp:inline>
        </w:drawing>
      </w:r>
    </w:p>
    <w:tbl>
      <w:tblPr>
        <w:tblW w:type="auto" w:w="0"/>
        <w:jc w:val="center"/>
        <w:tblLayout w:type="fixed"/>
        <w:tblLook w:firstColumn="1" w:firstRow="1" w:lastColumn="0" w:lastRow="0" w:noHBand="0" w:noVBand="1" w:val="04A0"/>
      </w:tblPr>
      <w:tblGrid>
        <w:gridCol w:w="3168"/>
        <w:gridCol w:w="3168"/>
      </w:tblGrid>
      <w:tr>
        <w:tc>
          <w:tcPr>
            <w:tcW w:type="dxa" w:w="5083"/>
            <w:vAlign w:val="center"/>
          </w:tcPr>
          <w:p>
            <w:r/>
            <w:r>
              <w:rPr>
                <w:b/>
                <w:sz w:val="20"/>
              </w:rPr>
              <w:t>Date of Approval:</w:t>
            </w:r>
          </w:p>
        </w:tc>
        <w:tc>
          <w:tcPr>
            <w:tcW w:type="dxa" w:w="5083"/>
            <w:vAlign w:val="center"/>
          </w:tcPr>
          <w:p>
            <w:r/>
            <w:r>
              <w:rPr>
                <w:b w:val="0"/>
                <w:sz w:val="20"/>
              </w:rPr>
              <w:t>Autumn 2026</w:t>
            </w:r>
          </w:p>
        </w:tc>
      </w:tr>
      <w:tr>
        <w:tc>
          <w:tcPr>
            <w:tcW w:type="dxa" w:w="5083"/>
            <w:vAlign w:val="center"/>
          </w:tcPr>
          <w:p>
            <w:r/>
            <w:r>
              <w:rPr>
                <w:b/>
                <w:sz w:val="20"/>
              </w:rPr>
              <w:t>Date of Next Review:</w:t>
            </w:r>
          </w:p>
        </w:tc>
        <w:tc>
          <w:tcPr>
            <w:tcW w:type="dxa" w:w="5083"/>
            <w:vAlign w:val="center"/>
          </w:tcPr>
          <w:p>
            <w:r/>
            <w:r>
              <w:rPr>
                <w:b w:val="0"/>
                <w:sz w:val="20"/>
              </w:rPr>
              <w:t>Autumn 2027</w:t>
            </w:r>
          </w:p>
        </w:tc>
      </w:tr>
    </w:tbl>
    <w:p/>
    <w:p>
      <w:pPr>
        <w:jc w:val="center"/>
      </w:pPr>
      <w:r>
        <w:rPr>
          <w:color w:val="666666"/>
          <w:sz w:val="18"/>
        </w:rPr>
        <w:t>Treetop Avenue, Basingstoke, Hampshire, RG23 7GJ</w:t>
        <w:br/>
        <w:t>01276 930 264  |  info@hounsomefields.school</w:t>
      </w:r>
    </w:p>
    <w:p>
      <w:pPr>
        <w:jc w:val="right"/>
      </w:pPr>
      <w:r>
        <w:drawing>
          <wp:inline xmlns:a="http://schemas.openxmlformats.org/drawingml/2006/main" xmlns:pic="http://schemas.openxmlformats.org/drawingml/2006/picture">
            <wp:extent cx="685800" cy="498107"/>
            <wp:docPr id="2" name="Picture 2"/>
            <wp:cNvGraphicFramePr>
              <a:graphicFrameLocks noChangeAspect="1"/>
            </wp:cNvGraphicFramePr>
            <a:graphic>
              <a:graphicData uri="http://schemas.openxmlformats.org/drawingml/2006/picture">
                <pic:pic>
                  <pic:nvPicPr>
                    <pic:cNvPr id="0" name="eeea_logo.png"/>
                    <pic:cNvPicPr/>
                  </pic:nvPicPr>
                  <pic:blipFill>
                    <a:blip r:embed="rId12"/>
                    <a:stretch>
                      <a:fillRect/>
                    </a:stretch>
                  </pic:blipFill>
                  <pic:spPr>
                    <a:xfrm>
                      <a:off x="0" y="0"/>
                      <a:ext cx="685800" cy="498107"/>
                    </a:xfrm>
                    <a:prstGeom prst="rect"/>
                  </pic:spPr>
                </pic:pic>
              </a:graphicData>
            </a:graphic>
          </wp:inline>
        </w:drawing>
      </w:r>
    </w:p>
    <w:p>
      <w:r>
        <w:br w:type="page"/>
      </w:r>
    </w:p>
    <w:p>
      <w:pPr>
        <w:pStyle w:val="Heading1"/>
      </w:pPr>
      <w:r>
        <w:t>1. Policy statement</w:t>
      </w:r>
    </w:p>
    <w:p>
      <w:r>
        <w:t>Safeguarding determines the actions Hounsome Fields Primary School takes to keep children safe and protect them from harm in every aspect of school life. We are committed to a safe, inclusive and vigilant culture in which children are respected, listened to and able to learn and flourish.</w:t>
      </w:r>
    </w:p>
    <w:p>
      <w:r>
        <w:t>This is the school’s overarching safeguarding policy. Detailed child protection procedures are set out in the separate Child Protection Policy. Specialist arrangements are also contained in the school’s Online Safety, Child-on-Child Abuse, Low-Level Concerns, Behaviour and Relationships, Positive Handling and Restrictive Interventions, Health and Medical, Allergy Safety, Attendance, SEND, Site and Security, Visitors and Volunteers, and Whistleblowing policies.</w:t>
      </w:r>
    </w:p>
    <w:tbl>
      <w:tblPr>
        <w:tblStyle w:val="TableGrid"/>
        <w:tblW w:type="auto" w:w="0"/>
        <w:jc w:val="center"/>
        <w:tblLook w:firstColumn="1" w:firstRow="1" w:lastColumn="0" w:lastRow="0" w:noHBand="0" w:noVBand="1" w:val="04A0"/>
      </w:tblPr>
      <w:tblGrid>
        <w:gridCol w:w="5083"/>
        <w:gridCol w:w="5083"/>
      </w:tblGrid>
      <w:tr>
        <w:tc>
          <w:tcPr>
            <w:tcW w:type="dxa" w:w="5083"/>
            <w:vAlign w:val="center"/>
            <w:shd w:fill="EDE5F4"/>
          </w:tcPr>
          <w:p>
            <w:r/>
            <w:r>
              <w:rPr>
                <w:b/>
                <w:sz w:val="20"/>
              </w:rPr>
              <w:t>Designated Safeguarding Lead</w:t>
            </w:r>
          </w:p>
        </w:tc>
        <w:tc>
          <w:tcPr>
            <w:tcW w:type="dxa" w:w="5083"/>
            <w:vAlign w:val="center"/>
          </w:tcPr>
          <w:p>
            <w:r/>
            <w:r>
              <w:rPr>
                <w:b w:val="0"/>
                <w:sz w:val="20"/>
              </w:rPr>
              <w:t>Bradley Carter, Headteacher</w:t>
            </w:r>
          </w:p>
        </w:tc>
      </w:tr>
      <w:tr>
        <w:tc>
          <w:tcPr>
            <w:tcW w:type="dxa" w:w="5083"/>
            <w:vAlign w:val="center"/>
          </w:tcPr>
          <w:p>
            <w:r/>
            <w:r>
              <w:rPr>
                <w:b/>
                <w:sz w:val="20"/>
              </w:rPr>
              <w:t>Safeguarding Governor</w:t>
            </w:r>
          </w:p>
        </w:tc>
        <w:tc>
          <w:tcPr>
            <w:tcW w:type="dxa" w:w="5083"/>
            <w:vAlign w:val="center"/>
          </w:tcPr>
          <w:p>
            <w:r/>
            <w:r>
              <w:rPr>
                <w:b w:val="0"/>
                <w:sz w:val="20"/>
              </w:rPr>
              <w:t>Karen Brown (Trustee)</w:t>
            </w:r>
          </w:p>
        </w:tc>
      </w:tr>
      <w:tr>
        <w:tc>
          <w:tcPr>
            <w:tcW w:type="dxa" w:w="5083"/>
            <w:vAlign w:val="center"/>
          </w:tcPr>
          <w:p>
            <w:r/>
            <w:r>
              <w:rPr>
                <w:b/>
                <w:sz w:val="20"/>
              </w:rPr>
              <w:t>Chair of Governors / Trust representative</w:t>
            </w:r>
          </w:p>
        </w:tc>
        <w:tc>
          <w:tcPr>
            <w:tcW w:type="dxa" w:w="5083"/>
            <w:vAlign w:val="center"/>
          </w:tcPr>
          <w:p>
            <w:r/>
            <w:r>
              <w:rPr>
                <w:b w:val="0"/>
                <w:sz w:val="20"/>
              </w:rPr>
              <w:t>Stephen Norton (Trustee)</w:t>
            </w:r>
          </w:p>
        </w:tc>
      </w:tr>
      <w:tr>
        <w:tc>
          <w:tcPr>
            <w:tcW w:type="dxa" w:w="5083"/>
            <w:vAlign w:val="center"/>
          </w:tcPr>
          <w:p>
            <w:r/>
            <w:r>
              <w:rPr>
                <w:b/>
                <w:sz w:val="20"/>
              </w:rPr>
              <w:t>Safeguarding recording system</w:t>
            </w:r>
          </w:p>
        </w:tc>
        <w:tc>
          <w:tcPr>
            <w:tcW w:type="dxa" w:w="5083"/>
            <w:vAlign w:val="center"/>
          </w:tcPr>
          <w:p>
            <w:r/>
            <w:r>
              <w:rPr>
                <w:b w:val="0"/>
                <w:sz w:val="20"/>
              </w:rPr>
              <w:t>CPOMS</w:t>
            </w:r>
          </w:p>
        </w:tc>
      </w:tr>
      <w:tr>
        <w:tc>
          <w:tcPr>
            <w:tcW w:type="dxa" w:w="5083"/>
            <w:vAlign w:val="center"/>
          </w:tcPr>
          <w:p>
            <w:r/>
            <w:r>
              <w:rPr>
                <w:b/>
                <w:sz w:val="20"/>
              </w:rPr>
              <w:t>School contact</w:t>
            </w:r>
          </w:p>
        </w:tc>
        <w:tc>
          <w:tcPr>
            <w:tcW w:type="dxa" w:w="5083"/>
            <w:vAlign w:val="center"/>
          </w:tcPr>
          <w:p>
            <w:r/>
            <w:r>
              <w:rPr>
                <w:b w:val="0"/>
                <w:sz w:val="20"/>
              </w:rPr>
              <w:t>01276 930 264 | info@hounsomefields.school</w:t>
            </w:r>
          </w:p>
        </w:tc>
      </w:tr>
    </w:tbl>
    <w:p>
      <w:pPr>
        <w:pStyle w:val="Heading1"/>
      </w:pPr>
      <w:r>
        <w:t>2. Safeguarding culture</w:t>
      </w:r>
    </w:p>
    <w:p>
      <w:pPr>
        <w:pStyle w:val="ListBullet"/>
      </w:pPr>
      <w:r>
        <w:t>Safeguarding is everyone’s responsibility and “it could happen here”.</w:t>
      </w:r>
    </w:p>
    <w:p>
      <w:pPr>
        <w:pStyle w:val="ListBullet"/>
      </w:pPr>
      <w:r>
        <w:t>Children’s welfare, voice and best interests are central to decision-making.</w:t>
      </w:r>
    </w:p>
    <w:p>
      <w:pPr>
        <w:pStyle w:val="ListBullet"/>
      </w:pPr>
      <w:r>
        <w:t>Staff are expected to be professionally curious and to act on concerns rather than wait for proof.</w:t>
      </w:r>
    </w:p>
    <w:p>
      <w:pPr>
        <w:pStyle w:val="ListBullet"/>
      </w:pPr>
      <w:r>
        <w:t>The school promotes respectful relationships, equality, inclusion, belonging and high expectations.</w:t>
      </w:r>
    </w:p>
    <w:p>
      <w:pPr>
        <w:pStyle w:val="ListBullet"/>
      </w:pPr>
      <w:r>
        <w:t>Safeguarding practice is informed by the school’s HEART values: Honesty, Excellence, Ambition, Respect and Teamwork.</w:t>
      </w:r>
    </w:p>
    <w:p>
      <w:pPr>
        <w:pStyle w:val="ListBullet"/>
      </w:pPr>
      <w:r>
        <w:t>The school works in partnership with families while recognising that the child’s safety must come first.</w:t>
      </w:r>
    </w:p>
    <w:p>
      <w:pPr>
        <w:pStyle w:val="Heading1"/>
      </w:pPr>
      <w:r>
        <w:t>3. Safeguarding through the curriculum</w:t>
      </w:r>
    </w:p>
    <w:p>
      <w:r>
        <w:t>Children are taught how to keep themselves and others safe through an age-appropriate curriculum, including relationships education, health education, online safety, consent and boundaries, respectful relationships, anti-bullying, personal safety, emotional literacy and help-seeking. Teaching is adapted for children with SEND and communication needs.</w:t>
      </w:r>
    </w:p>
    <w:p>
      <w:pPr>
        <w:pStyle w:val="Heading1"/>
      </w:pPr>
      <w:r>
        <w:t>4. Online safety</w:t>
      </w:r>
    </w:p>
    <w:p>
      <w:r>
        <w:t>Online safety is integral to safeguarding. The school considers the four areas of online risk: content, contact, conduct and commerce. Filtering and monitoring arrangements are reviewed regularly, roles are clearly allocated and staff understand how to report concerns. The separate Online Safety Policy provides detailed procedures.</w:t>
      </w:r>
    </w:p>
    <w:p>
      <w:pPr>
        <w:pStyle w:val="Heading1"/>
      </w:pPr>
      <w:r>
        <w:t>5. Child-on-child abuse and harmful behaviour</w:t>
      </w:r>
    </w:p>
    <w:p>
      <w:r>
        <w:t>The school has zero tolerance for child-on-child abuse, including bullying, prejudice-based abuse, physical abuse, sexual harassment, sexual violence, harmful sexual behaviour, initiation/hazing, coercive behaviour and online abuse. Concerns are responded to under the separate Child-on-Child Abuse and Sexual Violence and Sexual Harassment Policy and, where appropriate, the Child Protection and Behaviour policies.</w:t>
      </w:r>
    </w:p>
    <w:p>
      <w:pPr>
        <w:pStyle w:val="Heading1"/>
      </w:pPr>
      <w:r>
        <w:t>6. Preventing radicalisation and extremism</w:t>
      </w:r>
    </w:p>
    <w:p>
      <w:r>
        <w:t>The school fulfils the Prevent duty by building pupils’ resilience, promoting fundamental British values, ensuring staff understand indicators of susceptibility to radicalisation, and making referrals to Channel/Prevent through appropriate local procedures where required. Prevent concerns are safeguarding concerns and are managed through the DSL.</w:t>
      </w:r>
    </w:p>
    <w:p>
      <w:pPr>
        <w:pStyle w:val="Heading1"/>
      </w:pPr>
      <w:r>
        <w:t>7. Attendance, missing education and children missing from home or care</w:t>
      </w:r>
    </w:p>
    <w:p>
      <w:r>
        <w:t>Attendance is a safeguarding issue. The school monitors patterns of absence and lateness, acts quickly where absence is unexplained or persistent, and follows local procedures for children missing education. Staff recognise that absence can be a warning sign of abuse, neglect, exploitation or other harm.</w:t>
      </w:r>
    </w:p>
    <w:p>
      <w:pPr>
        <w:pStyle w:val="Heading1"/>
      </w:pPr>
      <w:r>
        <w:t>8. Children who may be particularly vulnerable</w:t>
      </w:r>
    </w:p>
    <w:p>
      <w:pPr>
        <w:pStyle w:val="ListBullet"/>
      </w:pPr>
      <w:r>
        <w:t>children with SEND, disabilities or communication needs;</w:t>
      </w:r>
    </w:p>
    <w:p>
      <w:pPr>
        <w:pStyle w:val="ListBullet"/>
      </w:pPr>
      <w:r>
        <w:t>children with medical conditions or mental health needs;</w:t>
      </w:r>
    </w:p>
    <w:p>
      <w:pPr>
        <w:pStyle w:val="ListBullet"/>
      </w:pPr>
      <w:r>
        <w:t>children in care and previously looked-after children;</w:t>
      </w:r>
    </w:p>
    <w:p>
      <w:pPr>
        <w:pStyle w:val="ListBullet"/>
      </w:pPr>
      <w:r>
        <w:t>young carers and children affected by parental mental ill-health, substance misuse or domestic abuse;</w:t>
      </w:r>
    </w:p>
    <w:p>
      <w:pPr>
        <w:pStyle w:val="ListBullet"/>
      </w:pPr>
      <w:r>
        <w:t>children experiencing homelessness, poverty, family breakdown or temporary accommodation;</w:t>
      </w:r>
    </w:p>
    <w:p>
      <w:pPr>
        <w:pStyle w:val="ListBullet"/>
      </w:pPr>
      <w:r>
        <w:t>children vulnerable to exploitation, trafficking, serious violence or radicalisation;</w:t>
      </w:r>
    </w:p>
    <w:p>
      <w:pPr>
        <w:pStyle w:val="ListBullet"/>
      </w:pPr>
      <w:r>
        <w:t>children who experience discrimination because of race, religion, disability, sex, sexual orientation or other protected characteristics.</w:t>
      </w:r>
    </w:p>
    <w:p>
      <w:pPr>
        <w:pStyle w:val="Heading1"/>
      </w:pPr>
      <w:r>
        <w:t>9. Mental health and wellbeing</w:t>
      </w:r>
    </w:p>
    <w:p>
      <w:r>
        <w:t>Staff recognise that mental health difficulties can be a safeguarding indicator or consequence of abuse, neglect or exploitation. Concerns about a child’s mental health are shared with the DSL where safeguarding may be involved. The school works with families and relevant health or social care professionals to secure support.</w:t>
      </w:r>
    </w:p>
    <w:p>
      <w:pPr>
        <w:pStyle w:val="Heading1"/>
      </w:pPr>
      <w:r>
        <w:t>10. SEND and safeguarding</w:t>
      </w:r>
    </w:p>
    <w:p>
      <w:r>
        <w:t>Children with SEND may face additional safeguarding barriers, including communication difficulties, assumptions that behaviour is linked only to SEND, and increased vulnerability to bullying or abuse. The school will make reasonable adjustments to safeguarding communication, reporting routes and support.</w:t>
      </w:r>
    </w:p>
    <w:p>
      <w:pPr>
        <w:pStyle w:val="Heading1"/>
      </w:pPr>
      <w:r>
        <w:t>11. Medical needs, allergy safety and intimate care</w:t>
      </w:r>
    </w:p>
    <w:p>
      <w:r>
        <w:t>The school follows its Health and Medical, Allergy Safety and intimate-care arrangements so that pupils’ health needs are safely supported. Individual healthcare plans and emergency arrangements are used where required. Intimate care is delivered respectfully, with dignity, privacy, communication and the minimum necessary level of assistance.</w:t>
      </w:r>
    </w:p>
    <w:p>
      <w:pPr>
        <w:pStyle w:val="Heading1"/>
      </w:pPr>
      <w:r>
        <w:t>12. Site security, visitors and volunteers</w:t>
      </w:r>
    </w:p>
    <w:p>
      <w:r>
        <w:t>The school maintains secure access arrangements. Visitors report to the office, sign in, wear identification and are supervised where appropriate. Safeguarding information is provided to visitors and contractors according to the nature and duration of their work. Recruitment and vetting requirements are applied to volunteers in line with KCSIE 2026 and the current definition of regulated activity.</w:t>
      </w:r>
    </w:p>
    <w:p>
      <w:pPr>
        <w:pStyle w:val="Heading1"/>
      </w:pPr>
      <w:r>
        <w:t>13. Educational visits and off-site activity</w:t>
      </w:r>
    </w:p>
    <w:p>
      <w:r>
        <w:t>Educational visits and off-site activities are risk assessed and led by appropriately competent staff. Safeguarding expectations, supervision, emergency communication, medical needs and individual vulnerabilities are considered in planning. School safeguarding procedures continue to apply off site.</w:t>
      </w:r>
    </w:p>
    <w:p>
      <w:pPr>
        <w:pStyle w:val="Heading1"/>
      </w:pPr>
      <w:r>
        <w:t>14. Photography, images and digital recording</w:t>
      </w:r>
    </w:p>
    <w:p>
      <w:r>
        <w:t>Images of pupils are taken, stored and shared only for legitimate school purposes and in line with consent, data protection and safeguarding arrangements. Staff use school-approved devices and systems. Concerns about images or recordings are reported to the DSL.</w:t>
      </w:r>
    </w:p>
    <w:p>
      <w:pPr>
        <w:pStyle w:val="Heading1"/>
      </w:pPr>
      <w:r>
        <w:t>15. Physical contact and restrictive interventions</w:t>
      </w:r>
    </w:p>
    <w:p>
      <w:r>
        <w:t>Appropriate physical contact may be necessary to guide, comfort, protect or support a child. The school does not operate a “no contact” approach. Restrictive intervention or reasonable force is used only when lawful, necessary and proportionate, for the least amount of time, and in accordance with the separate Positive Handling and Restrictive Interventions Policy and current DfE guidance.</w:t>
      </w:r>
    </w:p>
    <w:p>
      <w:pPr>
        <w:pStyle w:val="Heading1"/>
      </w:pPr>
      <w:r>
        <w:t>16. Safer working practice</w:t>
      </w:r>
    </w:p>
    <w:p>
      <w:r>
        <w:t>All adults are expected to maintain professional boundaries, follow the Staff Code of Conduct and avoid conduct that could place a child or adult at risk or create a reasonable concern. Staff must report low-level concerns and allegations in accordance with the relevant policies.</w:t>
      </w:r>
    </w:p>
    <w:p>
      <w:pPr>
        <w:pStyle w:val="Heading1"/>
      </w:pPr>
      <w:r>
        <w:t>17. Use of school premises for non-school activities</w:t>
      </w:r>
    </w:p>
    <w:p>
      <w:r>
        <w:t>Where the school premises are used by external organisations, appropriate safeguarding arrangements will be considered in contracts, lettings and risk assessments. Concerns about the safeguarding practices of an external provider will be acted upon and, where necessary, reported to the relevant authorities.</w:t>
      </w:r>
    </w:p>
    <w:p>
      <w:pPr>
        <w:pStyle w:val="Heading1"/>
      </w:pPr>
      <w:r>
        <w:t>18. Monitoring and review</w:t>
      </w:r>
    </w:p>
    <w:p>
      <w:r>
        <w:t>Safeguarding is monitored through leadership oversight, governor/trust scrutiny, safeguarding audits, training records, filtering and monitoring reviews, attendance data, incident analysis, policy review and pupil/family voice. This policy is reviewed at least annually and when statutory or local guidance changes.</w:t>
      </w:r>
    </w:p>
    <w:p>
      <w:pPr>
        <w:pStyle w:val="Heading1"/>
      </w:pPr>
      <w:r>
        <w:t>Key legislation and guidance</w:t>
      </w:r>
    </w:p>
    <w:p>
      <w:pPr>
        <w:pStyle w:val="ListBullet"/>
      </w:pPr>
      <w:r>
        <w:t>Keeping Children Safe in Education 2026 (Department for Education).</w:t>
      </w:r>
    </w:p>
    <w:p>
      <w:pPr>
        <w:pStyle w:val="ListBullet"/>
      </w:pPr>
      <w:r>
        <w:t>Working Together to Safeguard Children 2026 (Department for Education).</w:t>
      </w:r>
    </w:p>
    <w:p>
      <w:pPr>
        <w:pStyle w:val="ListBullet"/>
      </w:pPr>
      <w:r>
        <w:t>Information Sharing to Safeguard Children and Young People, statutory guidance updated September 2026.</w:t>
      </w:r>
    </w:p>
    <w:p>
      <w:pPr>
        <w:pStyle w:val="ListBullet"/>
      </w:pPr>
      <w:r>
        <w:t>Hampshire County Council model Child Protection Policy, September 2026.</w:t>
      </w:r>
    </w:p>
    <w:p>
      <w:pPr>
        <w:pStyle w:val="ListBullet"/>
      </w:pPr>
      <w:r>
        <w:t>Hampshire County Council model Safeguarding Policy, September 2026.</w:t>
      </w:r>
    </w:p>
    <w:p>
      <w:pPr>
        <w:pStyle w:val="ListBullet"/>
      </w:pPr>
      <w:r>
        <w:t>Hampshire Safeguarding Children Partnership (HSCP) procedures and Hampshire Children’s Trust thresholds guidance.</w:t>
      </w:r>
    </w:p>
    <w:p>
      <w:pPr>
        <w:pStyle w:val="ListBullet"/>
      </w:pPr>
      <w:r>
        <w:t>Education Act 2002 and relevant safeguarding provisions applying to academies and free schools.</w:t>
      </w:r>
    </w:p>
    <w:p>
      <w:pPr>
        <w:pStyle w:val="ListBullet"/>
      </w:pPr>
      <w:r>
        <w:t>Children Act 1989 and Children Act 2004, as amended.</w:t>
      </w:r>
    </w:p>
    <w:p>
      <w:pPr>
        <w:pStyle w:val="ListBullet"/>
      </w:pPr>
      <w:r>
        <w:t>Equality Act 2010 and Human Rights Act 1998.</w:t>
      </w:r>
    </w:p>
    <w:p>
      <w:pPr>
        <w:pStyle w:val="ListBullet"/>
      </w:pPr>
      <w:r>
        <w:t>Restrictive interventions, including the use of reasonable force, in schools (DfE), effective from April 2026.</w:t>
      </w:r>
    </w:p>
    <w:sectPr w:rsidR="00FC693F" w:rsidRPr="0006063C" w:rsidSect="00034616">
      <w:headerReference w:type="default" r:id="rId9"/>
      <w:footerReference w:type="default" r:id="rId10"/>
      <w:pgSz w:w="12240" w:h="15840"/>
      <w:pgMar w:top="864" w:right="1037" w:bottom="864"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66666"/>
        <w:sz w:val="16"/>
      </w:rPr>
      <w:t xml:space="preserve">Safeguarding Policy  |  Hounsome Fields Primary School  |  </w:t>
    </w:r>
    <w:r>
      <w:t xml:space="preserve">Page </w:t>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666666"/>
        <w:sz w:val="16"/>
      </w:rPr>
      <w:t>Hounsome Fields Primary School</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b/>
      <w:bCs/>
      <w:color w:val="5B2A86"/>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b/>
      <w:bCs/>
      <w:color w:val="5B2A86"/>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Aptos Display" w:hAnsi="Aptos Display"/>
      <w:b/>
      <w:bCs/>
      <w:color w:val="5B2A86"/>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ptos Display" w:hAnsi="Aptos Display"/>
      <w:b/>
      <w:color w:val="5B2A86"/>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